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before="480" w:after="80"/>
        <w:jc w:val="center"/>
        <w:rPr/>
      </w:pPr>
      <w:r>
        <w:rPr>
          <w:rFonts w:eastAsia="Arial" w:cs="Arial" w:ascii="Arial" w:hAnsi="Arial"/>
          <w:b/>
          <w:bCs/>
          <w:color w:val="2563EB"/>
          <w:sz w:val="52"/>
          <w:szCs w:val="52"/>
        </w:rPr>
        <w:t>Analisis Exploratorio de Datos</w:t>
      </w:r>
    </w:p>
    <w:p>
      <w:pPr>
        <w:pStyle w:val="Normal"/>
        <w:bidi w:val="0"/>
        <w:spacing w:lineRule="exact" w:line="283" w:before="480" w:after="80"/>
        <w:jc w:val="center"/>
        <w:rPr>
          <w:rFonts w:ascii="Arial" w:hAnsi="Arial" w:eastAsia="Arial" w:cs="Arial"/>
          <w:b w:val="false"/>
          <w:bCs w:val="false"/>
          <w:color w:val="2563EB"/>
          <w:sz w:val="26"/>
          <w:szCs w:val="26"/>
        </w:rPr>
      </w:pPr>
      <w:r>
        <w:rPr>
          <w:rFonts w:eastAsia="Arial" w:cs="Arial" w:ascii="Arial" w:hAnsi="Arial"/>
          <w:b w:val="false"/>
          <w:bCs w:val="false"/>
          <w:color w:val="2563EB"/>
          <w:sz w:val="26"/>
          <w:szCs w:val="26"/>
        </w:rPr>
        <w:t>Encuesta Sysarmy de Remuneraciones IT Argentina 2019-2026</w:t>
      </w:r>
    </w:p>
    <w:p>
      <w:pPr>
        <w:pStyle w:val="Normal"/>
        <w:bidi w:val="0"/>
        <w:spacing w:before="0" w:after="40"/>
        <w:jc w:val="center"/>
        <w:rPr>
          <w:rFonts w:ascii="Arial" w:hAnsi="Arial" w:eastAsia="Arial" w:cs="Arial"/>
          <w:color w:val="6B7280"/>
          <w:sz w:val="32"/>
          <w:szCs w:val="32"/>
        </w:rPr>
      </w:pPr>
      <w:r>
        <w:rPr>
          <w:rFonts w:eastAsia="Arial" w:cs="Arial" w:ascii="Arial" w:hAnsi="Arial"/>
          <w:color w:val="6B7280"/>
          <w:sz w:val="32"/>
          <w:szCs w:val="32"/>
        </w:rPr>
      </w:r>
    </w:p>
    <w:p>
      <w:pPr>
        <w:pStyle w:val="Normal"/>
        <w:bidi w:val="0"/>
        <w:spacing w:before="40" w:after="480"/>
        <w:jc w:val="center"/>
        <w:rPr>
          <w:rFonts w:ascii="Arial" w:hAnsi="Arial" w:eastAsia="Arial" w:cs="Arial"/>
          <w:i/>
          <w:iCs/>
          <w:color w:val="6B7280"/>
          <w:sz w:val="22"/>
          <w:szCs w:val="22"/>
        </w:rPr>
      </w:pPr>
      <w:r>
        <w:rPr>
          <w:rFonts w:eastAsia="Arial" w:cs="Arial" w:ascii="Arial" w:hAnsi="Arial"/>
          <w:i/>
          <w:iCs/>
          <w:color w:val="6B7280"/>
          <w:sz w:val="22"/>
          <w:szCs w:val="22"/>
        </w:rPr>
      </w:r>
    </w:p>
    <w:p>
      <w:pPr>
        <w:pStyle w:val="Heading1"/>
        <w:pBdr>
          <w:bottom w:val="single" w:sz="4" w:space="6" w:color="2563EB"/>
        </w:pBdr>
        <w:bidi w:val="0"/>
        <w:spacing w:before="360" w:after="120"/>
        <w:jc w:val="start"/>
        <w:rPr/>
      </w:pPr>
      <w:r>
        <w:rPr>
          <w:rFonts w:eastAsia="Arial" w:cs="Arial"/>
          <w:b/>
          <w:bCs/>
          <w:color w:val="2563EB"/>
          <w:sz w:val="32"/>
          <w:szCs w:val="32"/>
        </w:rPr>
        <w:t>1. Calidad de los datos</w:t>
      </w:r>
    </w:p>
    <w:p>
      <w:pPr>
        <w:pStyle w:val="Normal"/>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t>La calidad general de los datos es buena. Las variables principales utilizadas para el modelado, como salario, experiencia, antigüedad, rol, género y región, no presentan valores faltantes.</w:t>
      </w:r>
    </w:p>
    <w:p>
      <w:pPr>
        <w:pStyle w:val="Normal"/>
        <w:bidi w:val="0"/>
        <w:spacing w:before="60" w:after="80"/>
        <w:jc w:val="start"/>
        <w:rPr/>
      </w:pPr>
      <w:r>
        <w:rPr>
          <w:rFonts w:eastAsia="Arial" w:cs="Arial" w:ascii="Arial" w:hAnsi="Arial"/>
          <w:color w:val="1F2937"/>
          <w:sz w:val="22"/>
          <w:szCs w:val="22"/>
        </w:rPr>
        <w:t xml:space="preserve">Se detectan faltantes importantes en las variables </w:t>
      </w:r>
      <w:r>
        <w:rPr>
          <w:rStyle w:val="Strong"/>
          <w:rFonts w:eastAsia="Arial" w:cs="Arial" w:ascii="Arial" w:hAnsi="Arial"/>
          <w:color w:val="1F2937"/>
          <w:sz w:val="22"/>
          <w:szCs w:val="22"/>
        </w:rPr>
        <w:t>seniority</w:t>
      </w:r>
      <w:r>
        <w:rPr>
          <w:rFonts w:eastAsia="Arial" w:cs="Arial" w:ascii="Arial" w:hAnsi="Arial"/>
          <w:color w:val="1F2937"/>
          <w:sz w:val="22"/>
          <w:szCs w:val="22"/>
        </w:rPr>
        <w:t xml:space="preserve">, </w:t>
      </w:r>
      <w:r>
        <w:rPr>
          <w:rStyle w:val="Strong"/>
          <w:rFonts w:eastAsia="Arial" w:cs="Arial" w:ascii="Arial" w:hAnsi="Arial"/>
          <w:color w:val="1F2937"/>
          <w:sz w:val="22"/>
          <w:szCs w:val="22"/>
        </w:rPr>
        <w:t>sueldo_dolarizado</w:t>
      </w:r>
      <w:r>
        <w:rPr>
          <w:rFonts w:eastAsia="Arial" w:cs="Arial" w:ascii="Arial" w:hAnsi="Arial"/>
          <w:color w:val="1F2937"/>
          <w:sz w:val="22"/>
          <w:szCs w:val="22"/>
        </w:rPr>
        <w:t xml:space="preserve"> y </w:t>
      </w:r>
      <w:r>
        <w:rPr>
          <w:rStyle w:val="Strong"/>
          <w:rFonts w:eastAsia="Arial" w:cs="Arial" w:ascii="Arial" w:hAnsi="Arial"/>
          <w:color w:val="1F2937"/>
          <w:sz w:val="22"/>
          <w:szCs w:val="22"/>
        </w:rPr>
        <w:t>uso_ia</w:t>
      </w:r>
      <w:r>
        <w:rPr>
          <w:rFonts w:eastAsia="Arial" w:cs="Arial" w:ascii="Arial" w:hAnsi="Arial"/>
          <w:color w:val="1F2937"/>
          <w:sz w:val="22"/>
          <w:szCs w:val="22"/>
        </w:rPr>
        <w:t>, con aproximadamente un 66,7% de valores faltantes. Inicialmente, esto podría sugerir problemas de calidad de datos; sin embargo, un análisis más detallado permitió identificar que dichos faltantes no son aleatorios.</w:t>
      </w:r>
    </w:p>
    <w:p>
      <w:pPr>
        <w:pStyle w:val="Normal"/>
        <w:bidi w:val="0"/>
        <w:spacing w:before="60" w:after="80"/>
        <w:jc w:val="start"/>
        <w:rPr/>
      </w:pPr>
      <w:r>
        <w:rPr>
          <w:rFonts w:eastAsia="Arial" w:cs="Arial" w:ascii="Arial" w:hAnsi="Arial"/>
          <w:color w:val="1F2937"/>
          <w:sz w:val="22"/>
          <w:szCs w:val="22"/>
        </w:rPr>
        <w:t xml:space="preserve">Al analizar la distribución de los valores faltantes por año y semestre, se observó que estos se encuentran asociados al período de relevamiento de la encuesta. Las variables </w:t>
      </w:r>
      <w:r>
        <w:rPr>
          <w:rStyle w:val="Strong"/>
          <w:rFonts w:eastAsia="Arial" w:cs="Arial" w:ascii="Arial" w:hAnsi="Arial"/>
          <w:color w:val="1F2937"/>
          <w:sz w:val="22"/>
          <w:szCs w:val="22"/>
        </w:rPr>
        <w:t>seniority</w:t>
      </w:r>
      <w:r>
        <w:rPr>
          <w:rFonts w:eastAsia="Arial" w:cs="Arial" w:ascii="Arial" w:hAnsi="Arial"/>
          <w:color w:val="1F2937"/>
          <w:sz w:val="22"/>
          <w:szCs w:val="22"/>
        </w:rPr>
        <w:t xml:space="preserve">, </w:t>
      </w:r>
      <w:r>
        <w:rPr>
          <w:rStyle w:val="Strong"/>
          <w:rFonts w:eastAsia="Arial" w:cs="Arial" w:ascii="Arial" w:hAnsi="Arial"/>
          <w:color w:val="1F2937"/>
          <w:sz w:val="22"/>
          <w:szCs w:val="22"/>
        </w:rPr>
        <w:t>sueldo_dolarizado</w:t>
      </w:r>
      <w:r>
        <w:rPr>
          <w:rFonts w:eastAsia="Arial" w:cs="Arial" w:ascii="Arial" w:hAnsi="Arial"/>
          <w:color w:val="1F2937"/>
          <w:sz w:val="22"/>
          <w:szCs w:val="22"/>
        </w:rPr>
        <w:t xml:space="preserve"> y </w:t>
      </w:r>
      <w:r>
        <w:rPr>
          <w:rStyle w:val="Strong"/>
          <w:rFonts w:eastAsia="Arial" w:cs="Arial" w:ascii="Arial" w:hAnsi="Arial"/>
          <w:color w:val="1F2937"/>
          <w:sz w:val="22"/>
          <w:szCs w:val="22"/>
        </w:rPr>
        <w:t>modalidad</w:t>
      </w:r>
      <w:r>
        <w:rPr>
          <w:rFonts w:eastAsia="Arial" w:cs="Arial" w:ascii="Arial" w:hAnsi="Arial"/>
          <w:color w:val="1F2937"/>
          <w:sz w:val="22"/>
          <w:szCs w:val="22"/>
        </w:rPr>
        <w:t xml:space="preserve"> no fueron relevadas en las encuestas comprendidas entre 2019 y 2023, mientras que comienzan a estar disponibles a partir de la edición </w:t>
      </w:r>
      <w:r>
        <w:rPr>
          <w:rStyle w:val="Strong"/>
          <w:rFonts w:eastAsia="Arial" w:cs="Arial" w:ascii="Arial" w:hAnsi="Arial"/>
          <w:color w:val="1F2937"/>
          <w:sz w:val="22"/>
          <w:szCs w:val="22"/>
        </w:rPr>
        <w:t>2024.1</w:t>
      </w:r>
      <w:r>
        <w:rPr>
          <w:rFonts w:eastAsia="Arial" w:cs="Arial" w:ascii="Arial" w:hAnsi="Arial"/>
          <w:color w:val="1F2937"/>
          <w:sz w:val="22"/>
          <w:szCs w:val="22"/>
        </w:rPr>
        <w:t xml:space="preserve">. Por otro lado, la variable </w:t>
      </w:r>
      <w:r>
        <w:rPr>
          <w:rStyle w:val="Strong"/>
          <w:rFonts w:eastAsia="Arial" w:cs="Arial" w:ascii="Arial" w:hAnsi="Arial"/>
          <w:color w:val="1F2937"/>
          <w:sz w:val="22"/>
          <w:szCs w:val="22"/>
        </w:rPr>
        <w:t>uso_ia</w:t>
      </w:r>
      <w:r>
        <w:rPr>
          <w:rFonts w:eastAsia="Arial" w:cs="Arial" w:ascii="Arial" w:hAnsi="Arial"/>
          <w:color w:val="1F2937"/>
          <w:sz w:val="22"/>
          <w:szCs w:val="22"/>
        </w:rPr>
        <w:t xml:space="preserve"> aparece recién a partir de la edición </w:t>
      </w:r>
      <w:r>
        <w:rPr>
          <w:rStyle w:val="Strong"/>
          <w:rFonts w:eastAsia="Arial" w:cs="Arial" w:ascii="Arial" w:hAnsi="Arial"/>
          <w:color w:val="1F2937"/>
          <w:sz w:val="22"/>
          <w:szCs w:val="22"/>
        </w:rPr>
        <w:t>2022.2</w:t>
      </w:r>
      <w:r>
        <w:rPr>
          <w:rFonts w:eastAsia="Arial" w:cs="Arial" w:ascii="Arial" w:hAnsi="Arial"/>
          <w:color w:val="1F2937"/>
          <w:sz w:val="22"/>
          <w:szCs w:val="22"/>
        </w:rPr>
        <w:t>.</w:t>
      </w:r>
    </w:p>
    <w:p>
      <w:pPr>
        <w:pStyle w:val="Normal"/>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t>Por lo tanto, los valores faltantes responden a cambios en el cuestionario de Sysarmy a lo largo del tiempo y no a errores de carga ni a omisiones de los encuestados.</w:t>
      </w:r>
    </w:p>
    <w:p>
      <w:pPr>
        <w:pStyle w:val="Normal"/>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r>
    </w:p>
    <w:p>
      <w:pPr>
        <w:pStyle w:val="Heading1"/>
        <w:keepNext w:val="true"/>
        <w:pBdr>
          <w:bottom w:val="single" w:sz="4" w:space="6" w:color="2563EB"/>
        </w:pBdr>
        <w:bidi w:val="0"/>
        <w:jc w:val="start"/>
        <w:rPr>
          <w:rFonts w:ascii="Arial" w:hAnsi="Arial"/>
        </w:rPr>
      </w:pPr>
      <w:r>
        <w:rPr/>
        <w:t>2. Distribuciones Univariadas</w:t>
      </w:r>
    </w:p>
    <w:p>
      <w:pPr>
        <w:pStyle w:val="Normal"/>
        <w:bidi w:val="0"/>
        <w:spacing w:before="60" w:after="80"/>
        <w:jc w:val="start"/>
        <w:rPr>
          <w:rStyle w:val="Strong"/>
          <w:rFonts w:ascii="Arial" w:hAnsi="Arial" w:eastAsia="Arial" w:cs="Arial"/>
          <w:color w:val="1F2937"/>
          <w:sz w:val="22"/>
          <w:szCs w:val="22"/>
        </w:rPr>
      </w:pPr>
      <w:r>
        <w:rPr>
          <w:rFonts w:eastAsia="Arial" w:cs="Arial" w:ascii="Arial" w:hAnsi="Arial"/>
          <w:color w:val="1F2937"/>
          <w:sz w:val="22"/>
          <w:szCs w:val="22"/>
        </w:rPr>
      </w:r>
    </w:p>
    <w:p>
      <w:pPr>
        <w:pStyle w:val="Normal"/>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t>El dataset cuenta con 15.304 observaciones distribuidas en 14 períodos semestrales (2019.1 a 2026.1). El grupo de rol predominante es Data Platform / MLOps con el 50% de las observaciones, seguido por Data Science / AI con el 31%. La distribución de género muestra que el 82% de los encuestados se identifica como hombre, el 14% como mujer y el 4% como no binario, reflejando la composición típica del sector IT en Argentina. El 80% de los encuestados no tiene personas a cargo.</w:t>
      </w:r>
    </w:p>
    <w:p>
      <w:pPr>
        <w:pStyle w:val="Normal"/>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t>La mediana de experiencia es de 6 años y la edad mediana es de 34 años. El 75% de los encuestados tiene entre 0 y 13 años de experiencia, lo que indica una población relativamente joven en términos de trayectoria laboral.</w:t>
      </w:r>
    </w:p>
    <w:p>
      <w:pPr>
        <w:pStyle w:val="Normal"/>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r>
    </w:p>
    <w:p>
      <w:pPr>
        <w:pStyle w:val="Heading1"/>
        <w:keepNext w:val="true"/>
        <w:pBdr>
          <w:bottom w:val="single" w:sz="4" w:space="6" w:color="2563EB"/>
        </w:pBdr>
        <w:bidi w:val="0"/>
        <w:jc w:val="start"/>
        <w:rPr>
          <w:rFonts w:ascii="Arial" w:hAnsi="Arial"/>
        </w:rPr>
      </w:pPr>
      <w:r>
        <w:rPr/>
      </w:r>
    </w:p>
    <w:p>
      <w:pPr>
        <w:pStyle w:val="Heading1"/>
        <w:pBdr>
          <w:bottom w:val="single" w:sz="4" w:space="6" w:color="2563EB"/>
        </w:pBdr>
        <w:bidi w:val="0"/>
        <w:jc w:val="start"/>
        <w:rPr>
          <w:rFonts w:ascii="Arial" w:hAnsi="Arial"/>
        </w:rPr>
      </w:pPr>
      <w:r>
        <w:rPr/>
        <w:t>3. Variable Objetivo: Salario</w:t>
      </w:r>
    </w:p>
    <w:p>
      <w:pPr>
        <w:pStyle w:val="Normal"/>
        <w:bidi w:val="0"/>
        <w:spacing w:before="60" w:after="80"/>
        <w:jc w:val="start"/>
        <w:rPr>
          <w:rStyle w:val="Strong"/>
          <w:rFonts w:ascii="Arial" w:hAnsi="Arial" w:eastAsia="Arial" w:cs="Arial"/>
          <w:color w:val="1F2937"/>
          <w:sz w:val="22"/>
          <w:szCs w:val="22"/>
        </w:rPr>
      </w:pPr>
      <w:r>
        <w:rPr>
          <w:rFonts w:eastAsia="Arial" w:cs="Arial" w:ascii="Arial" w:hAnsi="Arial"/>
          <w:color w:val="1F2937"/>
          <w:sz w:val="22"/>
          <w:szCs w:val="22"/>
        </w:rPr>
      </w:r>
    </w:p>
    <w:p>
      <w:pPr>
        <w:pStyle w:val="Normal"/>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t>La variable objetivo del análisis es el salario bruto mensual en pesos argentinos, declarado por cada encuestado. Se trata de una variable continua que refleja la remuneración total antes de descuentos impositivos.</w:t>
      </w:r>
    </w:p>
    <w:p>
      <w:pPr>
        <w:pStyle w:val="Normal"/>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r>
    </w:p>
    <w:p>
      <w:pPr>
        <w:pStyle w:val="BodyText"/>
        <w:bidi w:val="0"/>
        <w:spacing w:before="60" w:after="80"/>
        <w:jc w:val="start"/>
        <w:rPr>
          <w:rFonts w:ascii="Arial" w:hAnsi="Arial" w:eastAsia="Arial" w:cs="Arial"/>
          <w:color w:val="1F2937"/>
          <w:sz w:val="22"/>
          <w:szCs w:val="22"/>
        </w:rPr>
      </w:pPr>
      <w:r>
        <w:rPr>
          <w:rStyle w:val="Strong"/>
          <w:rFonts w:eastAsia="Arial" w:cs="Arial" w:ascii="Arial" w:hAnsi="Arial"/>
          <w:color w:val="1F2937"/>
          <w:sz w:val="22"/>
          <w:szCs w:val="22"/>
        </w:rPr>
        <w:t>Distribución del salario bruto</w:t>
      </w:r>
    </w:p>
    <w:p>
      <w:pPr>
        <w:pStyle w:val="BodyText"/>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t>El histograma del salario bruto en escala original muestra una distribución fuertemente asimétrica hacia la derecha. La gran mayoría de las observaciones se concentra en valores bajos, mientras que una minoría presenta salarios muy elevados que generan una cola larga. Esta asimetría se confirma al comparar la media ($1.048.318) con la mediana ($270.000): la media casi cuadruplica a la mediana, evidenciando el efecto distorsivo de los valores extremos superiores.</w:t>
      </w:r>
    </w:p>
    <w:p>
      <w:pPr>
        <w:pStyle w:val="BodyText"/>
        <w:bidi w:val="0"/>
        <w:spacing w:before="60" w:after="80"/>
        <w:jc w:val="start"/>
        <w:rPr>
          <w:rFonts w:ascii="Arial" w:hAnsi="Arial" w:eastAsia="Arial" w:cs="Arial"/>
          <w:color w:val="1F2937"/>
          <w:sz w:val="22"/>
          <w:szCs w:val="22"/>
        </w:rPr>
      </w:pPr>
      <w:r>
        <w:rPr>
          <w:rStyle w:val="Strong"/>
          <w:rFonts w:eastAsia="Arial" w:cs="Arial" w:ascii="Arial" w:hAnsi="Arial"/>
          <w:color w:val="1F2937"/>
          <w:sz w:val="22"/>
          <w:szCs w:val="22"/>
        </w:rPr>
        <w:t>Transformación logarítmica</w:t>
      </w:r>
    </w:p>
    <w:p>
      <w:pPr>
        <w:pStyle w:val="BodyText"/>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t xml:space="preserve">Con el objetivo de reducir la asimetría y acercar la distribución a la normalidad requerida por los modelos de regresión lineal, se aplicó una transformación logarítmica sobre el salario bruto, obteniendo la variable </w:t>
      </w:r>
      <w:r>
        <w:rPr>
          <w:rStyle w:val="SourceText"/>
          <w:rFonts w:ascii="Arial" w:hAnsi="Arial"/>
          <w:color w:val="1F2937"/>
          <w:sz w:val="22"/>
          <w:szCs w:val="22"/>
        </w:rPr>
        <w:t>log_sal</w:t>
      </w:r>
      <w:r>
        <w:rPr>
          <w:rFonts w:eastAsia="Arial" w:cs="Arial" w:ascii="Arial" w:hAnsi="Arial"/>
          <w:color w:val="1F2937"/>
          <w:sz w:val="22"/>
          <w:szCs w:val="22"/>
        </w:rPr>
        <w:t>. Tras la transformación, la media (12,74) y la mediana (12,51) resultan considerablemente más próximas entre sí, indicando una distribución más simétrica y adecuada para el modelado.</w:t>
      </w:r>
    </w:p>
    <w:p>
      <w:pPr>
        <w:pStyle w:val="BodyText"/>
        <w:bidi w:val="0"/>
        <w:spacing w:before="60" w:after="80"/>
        <w:jc w:val="start"/>
        <w:rPr/>
      </w:pPr>
      <w:r>
        <w:rPr>
          <w:rStyle w:val="Strong"/>
          <w:rFonts w:eastAsia="Arial" w:cs="Arial" w:ascii="Arial" w:hAnsi="Arial"/>
          <w:color w:val="1F2937"/>
          <w:sz w:val="22"/>
          <w:szCs w:val="22"/>
        </w:rPr>
        <w:t>Distribución de log_sal — hallazgo relevante</w:t>
      </w:r>
    </w:p>
    <w:p>
      <w:pPr>
        <w:pStyle w:val="BodyText"/>
        <w:bidi w:val="0"/>
        <w:spacing w:before="60" w:after="80"/>
        <w:jc w:val="start"/>
        <w:rPr/>
      </w:pPr>
      <w:r>
        <w:rPr>
          <w:rFonts w:eastAsia="Arial" w:cs="Arial" w:ascii="Arial" w:hAnsi="Arial"/>
          <w:color w:val="1F2937"/>
          <w:sz w:val="22"/>
          <w:szCs w:val="22"/>
        </w:rPr>
        <w:t xml:space="preserve">El histograma con curva de densidad de </w:t>
      </w:r>
      <w:r>
        <w:rPr>
          <w:rStyle w:val="SourceText"/>
          <w:rFonts w:eastAsia="Arial" w:cs="Arial" w:ascii="Arial" w:hAnsi="Arial"/>
          <w:color w:val="1F2937"/>
          <w:sz w:val="22"/>
          <w:szCs w:val="22"/>
        </w:rPr>
        <w:t>log_sal</w:t>
      </w:r>
      <w:r>
        <w:rPr>
          <w:rFonts w:eastAsia="Arial" w:cs="Arial" w:ascii="Arial" w:hAnsi="Arial"/>
          <w:color w:val="1F2937"/>
          <w:sz w:val="22"/>
          <w:szCs w:val="22"/>
        </w:rPr>
        <w:t xml:space="preserve"> revela una distribución bimodal, con dos picos claramente diferenciados: uno alrededor de log_sal ≈ 11-12 y otro alrededor de ≈ 14-15. Esta característica sugiere la presencia de dos grupos de encuestados con estructuras salariales distintas, posiblemente asociados a quienes perciben su remuneración en pesos y quienes lo hacen en dólares. Esta hipótesis será explorada en el análisis de variables categóricas.</w:t>
      </w:r>
    </w:p>
    <w:p>
      <w:pPr>
        <w:pStyle w:val="BodyText"/>
        <w:bidi w:val="0"/>
        <w:spacing w:before="60" w:after="80"/>
        <w:jc w:val="start"/>
        <w:rPr/>
      </w:pPr>
      <w:r>
        <w:rPr>
          <w:rStyle w:val="Strong"/>
          <w:rFonts w:eastAsia="Arial" w:cs="Arial" w:ascii="Arial" w:hAnsi="Arial"/>
          <w:color w:val="1F2937"/>
          <w:sz w:val="22"/>
          <w:szCs w:val="22"/>
        </w:rPr>
        <w:t>Boxplot</w:t>
      </w:r>
    </w:p>
    <w:p>
      <w:pPr>
        <w:pStyle w:val="BodyText"/>
        <w:bidi w:val="0"/>
        <w:spacing w:before="60" w:after="80"/>
        <w:jc w:val="start"/>
        <w:rPr/>
      </w:pPr>
      <w:r>
        <w:rPr>
          <w:rFonts w:eastAsia="Arial" w:cs="Arial" w:ascii="Arial" w:hAnsi="Arial"/>
          <w:color w:val="1F2937"/>
          <w:sz w:val="22"/>
          <w:szCs w:val="22"/>
        </w:rPr>
        <w:t xml:space="preserve">El boxplot de </w:t>
      </w:r>
      <w:r>
        <w:rPr>
          <w:rStyle w:val="SourceText"/>
          <w:rFonts w:eastAsia="Arial" w:cs="Arial" w:ascii="Arial" w:hAnsi="Arial"/>
          <w:color w:val="1F2937"/>
          <w:sz w:val="22"/>
          <w:szCs w:val="22"/>
        </w:rPr>
        <w:t>log_sal</w:t>
      </w:r>
      <w:r>
        <w:rPr>
          <w:rFonts w:eastAsia="Arial" w:cs="Arial" w:ascii="Arial" w:hAnsi="Arial"/>
          <w:color w:val="1F2937"/>
          <w:sz w:val="22"/>
          <w:szCs w:val="22"/>
        </w:rPr>
        <w:t xml:space="preserve"> confirma que, tras la transformación, el 50% central de los datos se distribuye entre aproximadamente 11,5 y 14,3. Se observa una cola inferior extendida que corresponde a los salarios más bajos del dataset, mientras que la cola superior es más corta, lo que indica que la transformación logarítmica redujo eficazmente la influencia de los valores extremos superiores.</w:t>
      </w:r>
    </w:p>
    <w:p>
      <w:pPr>
        <w:pStyle w:val="BodyText"/>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r>
    </w:p>
    <w:p>
      <w:pPr>
        <w:pStyle w:val="Heading1"/>
        <w:keepNext w:val="true"/>
        <w:pBdr>
          <w:bottom w:val="single" w:sz="4" w:space="6" w:color="2563EB"/>
        </w:pBdr>
        <w:bidi w:val="0"/>
        <w:jc w:val="start"/>
        <w:rPr>
          <w:rFonts w:ascii="Arial" w:hAnsi="Arial"/>
        </w:rPr>
      </w:pPr>
      <w:r>
        <w:rPr/>
        <w:t>4. Variables Numericas</w:t>
      </w:r>
    </w:p>
    <w:p>
      <w:pPr>
        <w:pStyle w:val="Normal"/>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r>
    </w:p>
    <w:p>
      <w:pPr>
        <w:pStyle w:val="BodyText"/>
        <w:bidi w:val="0"/>
        <w:spacing w:before="60" w:after="80"/>
        <w:jc w:val="start"/>
        <w:rPr/>
      </w:pPr>
      <w:r>
        <w:rPr>
          <w:rFonts w:eastAsia="Arial" w:cs="Arial" w:ascii="Arial" w:hAnsi="Arial"/>
          <w:color w:val="1F2937"/>
          <w:sz w:val="22"/>
          <w:szCs w:val="22"/>
        </w:rPr>
        <w:t>Se analizó la relación entre las principales variables numéricas del dataset y el logaritmo del salario bruto (</w:t>
      </w:r>
      <w:r>
        <w:rPr>
          <w:rStyle w:val="SourceText"/>
          <w:rFonts w:eastAsia="Arial" w:cs="Arial" w:ascii="Arial" w:hAnsi="Arial"/>
          <w:color w:val="1F2937"/>
          <w:sz w:val="22"/>
          <w:szCs w:val="22"/>
        </w:rPr>
        <w:t>log_sal</w:t>
      </w:r>
      <w:r>
        <w:rPr>
          <w:rFonts w:eastAsia="Arial" w:cs="Arial" w:ascii="Arial" w:hAnsi="Arial"/>
          <w:color w:val="1F2937"/>
          <w:sz w:val="22"/>
          <w:szCs w:val="22"/>
        </w:rPr>
        <w:t>), utilizando gráficos de dispersión con ajuste lineal e intervalos de confianza al 95%.</w:t>
      </w:r>
    </w:p>
    <w:p>
      <w:pPr>
        <w:pStyle w:val="BodyText"/>
        <w:bidi w:val="0"/>
        <w:spacing w:before="60" w:after="80"/>
        <w:jc w:val="start"/>
        <w:rPr>
          <w:rStyle w:val="Strong"/>
          <w:rFonts w:ascii="Arial" w:hAnsi="Arial" w:eastAsia="Arial" w:cs="Arial"/>
          <w:color w:val="1F2937"/>
          <w:sz w:val="22"/>
          <w:szCs w:val="22"/>
        </w:rPr>
      </w:pPr>
      <w:r>
        <w:rPr>
          <w:rFonts w:eastAsia="Arial" w:cs="Arial" w:ascii="Arial" w:hAnsi="Arial"/>
          <w:color w:val="1F2937"/>
          <w:sz w:val="22"/>
          <w:szCs w:val="22"/>
        </w:rPr>
      </w:r>
    </w:p>
    <w:p>
      <w:pPr>
        <w:pStyle w:val="BodyText"/>
        <w:bidi w:val="0"/>
        <w:spacing w:before="60" w:after="80"/>
        <w:jc w:val="start"/>
        <w:rPr>
          <w:rFonts w:ascii="Arial" w:hAnsi="Arial" w:eastAsia="Arial" w:cs="Arial"/>
          <w:color w:val="1F2937"/>
          <w:sz w:val="22"/>
          <w:szCs w:val="22"/>
        </w:rPr>
      </w:pPr>
      <w:r>
        <w:rPr>
          <w:rStyle w:val="Strong"/>
          <w:rFonts w:eastAsia="Arial" w:cs="Arial" w:ascii="Arial" w:hAnsi="Arial"/>
          <w:color w:val="1F2937"/>
          <w:sz w:val="22"/>
          <w:szCs w:val="22"/>
        </w:rPr>
        <w:t>Experiencia</w:t>
      </w:r>
    </w:p>
    <w:p>
      <w:pPr>
        <w:pStyle w:val="BodyText"/>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t>Se observa una relación positiva entre los años de experiencia y el salario, aunque de magnitud moderada. La nube de puntos presenta una dispersión vertical considerable en todos los niveles de experiencia, lo que indica que la experiencia por sí sola no determina el salario. La mayoría de las observaciones se concentra entre 0 y 20 años, con pocos casos por encima de 40 años que no siguen una tendencia clara. Esto sugiere que la experiencia es una variable relevante pero insuficiente para explicar las diferencias salariales de forma aislada.</w:t>
      </w:r>
    </w:p>
    <w:p>
      <w:pPr>
        <w:pStyle w:val="BodyText"/>
        <w:bidi w:val="0"/>
        <w:spacing w:before="60" w:after="80"/>
        <w:jc w:val="start"/>
        <w:rPr>
          <w:rStyle w:val="Strong"/>
          <w:rFonts w:ascii="Arial" w:hAnsi="Arial" w:eastAsia="Arial" w:cs="Arial"/>
          <w:color w:val="1F2937"/>
          <w:sz w:val="22"/>
          <w:szCs w:val="22"/>
        </w:rPr>
      </w:pPr>
      <w:r>
        <w:rPr>
          <w:rFonts w:eastAsia="Arial" w:cs="Arial" w:ascii="Arial" w:hAnsi="Arial"/>
          <w:color w:val="1F2937"/>
          <w:sz w:val="22"/>
          <w:szCs w:val="22"/>
        </w:rPr>
      </w:r>
    </w:p>
    <w:p>
      <w:pPr>
        <w:pStyle w:val="BodyText"/>
        <w:bidi w:val="0"/>
        <w:spacing w:before="60" w:after="80"/>
        <w:jc w:val="start"/>
        <w:rPr>
          <w:rFonts w:ascii="Arial" w:hAnsi="Arial" w:eastAsia="Arial" w:cs="Arial"/>
          <w:color w:val="1F2937"/>
          <w:sz w:val="22"/>
          <w:szCs w:val="22"/>
        </w:rPr>
      </w:pPr>
      <w:r>
        <w:rPr>
          <w:rStyle w:val="Strong"/>
          <w:rFonts w:eastAsia="Arial" w:cs="Arial" w:ascii="Arial" w:hAnsi="Arial"/>
          <w:color w:val="1F2937"/>
          <w:sz w:val="22"/>
          <w:szCs w:val="22"/>
        </w:rPr>
        <w:t>Edad</w:t>
      </w:r>
    </w:p>
    <w:p>
      <w:pPr>
        <w:pStyle w:val="BodyText"/>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t>La relación entre edad y salario muestra una tendencia positiva similar a la de experiencia, lo cual es esperable dado que ambas variables están correlacionadas. Sin embargo, la dispersión es aún mayor: personas de similar edad presentan rangos salariales muy amplios. Esto anticipa un posible problema de multicolinealidad entre edad y experiencia que deberá considerarse en el modelado.</w:t>
      </w:r>
    </w:p>
    <w:p>
      <w:pPr>
        <w:pStyle w:val="BodyText"/>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r>
    </w:p>
    <w:p>
      <w:pPr>
        <w:pStyle w:val="BodyText"/>
        <w:bidi w:val="0"/>
        <w:spacing w:before="60" w:after="80"/>
        <w:jc w:val="start"/>
        <w:rPr>
          <w:rFonts w:ascii="Arial" w:hAnsi="Arial" w:eastAsia="Arial" w:cs="Arial"/>
          <w:color w:val="1F2937"/>
          <w:sz w:val="22"/>
          <w:szCs w:val="22"/>
        </w:rPr>
      </w:pPr>
      <w:r>
        <w:rPr>
          <w:rStyle w:val="Strong"/>
          <w:rFonts w:eastAsia="Arial" w:cs="Arial" w:ascii="Arial" w:hAnsi="Arial"/>
          <w:color w:val="1F2937"/>
          <w:sz w:val="22"/>
          <w:szCs w:val="22"/>
        </w:rPr>
        <w:t>Personas a cargo</w:t>
      </w:r>
    </w:p>
    <w:p>
      <w:pPr>
        <w:pStyle w:val="BodyText"/>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t>El gráfico de dispersión muestra que el 80% de las observaciones se concentra en x=0 (sin personas a cargo), lo que limita la capacidad del ajuste lineal para capturar una tendencia real. El intervalo de confianza se amplía considerablemente a medida que aumenta la cantidad de personas a cargo, reflejando la escasez de observaciones en esos rangos.</w:t>
      </w:r>
    </w:p>
    <w:p>
      <w:pPr>
        <w:pStyle w:val="BodyText"/>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t>El boxplot por grupos resulta más informativo: quienes lideran equipos grandes presentan la mediana salarial más alta, aunque también la mayor dispersión. Llamativamente, las medianas de los grupos "Sin equipo", "Equipo pequeño" y "Equipo mediano" son similares entre sí, lo que sugiere que la relación entre liderazgo y salario no es lineal y podría estar mediada por otras variables como el seniority o el grupo de rol.</w:t>
      </w:r>
    </w:p>
    <w:p>
      <w:pPr>
        <w:pStyle w:val="BodyText"/>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r>
    </w:p>
    <w:p>
      <w:pPr>
        <w:pStyle w:val="BodyText"/>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t>En conjunto, las variables numéricas muestran relaciones positivas con el salario pero con alta dispersión individual, lo que sugiere que su poder explicativo mejorará al incorporarlas junto a variables categóricas como seniority, grupo de rol y dolarización en el modelo de regresión.</w:t>
      </w:r>
    </w:p>
    <w:p>
      <w:pPr>
        <w:pStyle w:val="BodyText"/>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r>
    </w:p>
    <w:p>
      <w:pPr>
        <w:pStyle w:val="BodyText"/>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r>
    </w:p>
    <w:p>
      <w:pPr>
        <w:pStyle w:val="Heading1"/>
        <w:keepNext w:val="true"/>
        <w:pBdr>
          <w:bottom w:val="single" w:sz="4" w:space="6" w:color="2563EB"/>
        </w:pBdr>
        <w:bidi w:val="0"/>
        <w:jc w:val="start"/>
        <w:rPr>
          <w:rFonts w:ascii="Arial" w:hAnsi="Arial"/>
        </w:rPr>
      </w:pPr>
      <w:r>
        <w:rPr/>
        <w:t xml:space="preserve">5. </w:t>
      </w:r>
      <w:r>
        <w:rPr/>
        <w:t>Variables Categoricas</w:t>
      </w:r>
    </w:p>
    <w:p>
      <w:pPr>
        <w:pStyle w:val="Normal"/>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r>
    </w:p>
    <w:p>
      <w:pPr>
        <w:pStyle w:val="BodyText"/>
        <w:bidi w:val="0"/>
        <w:spacing w:before="60" w:after="80"/>
        <w:jc w:val="start"/>
        <w:rPr/>
      </w:pPr>
      <w:r>
        <w:rPr>
          <w:rStyle w:val="Strong"/>
          <w:rFonts w:eastAsia="Arial" w:cs="Arial" w:ascii="Arial" w:hAnsi="Arial"/>
          <w:color w:val="1F2937"/>
          <w:sz w:val="22"/>
          <w:szCs w:val="22"/>
        </w:rPr>
        <w:t>Seniority</w:t>
      </w:r>
    </w:p>
    <w:p>
      <w:pPr>
        <w:pStyle w:val="BodyText"/>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t>El seniority es la variable categórica con mayor poder discriminante sobre el salario. Se observa una separación clara y progresiva entre las tres categorías: la mediana del logaritmo salarial aumenta de Junior (~14,1) a Semi-Senior (~14,4) y a Senior (~14,9), con escasa superposición entre las cajas. Las diferencias son consistentes y las distribuciones de cada nivel son relativamente compactas en su rango intercuartílico. Este patrón sugiere que el seniority será una de las variables más relevantes en el modelo de regresión. Cabe recordar que esta variable solo está disponible para los períodos 2024-2026, por lo que el análisis se restringe a 5.091 observaciones.</w:t>
      </w:r>
    </w:p>
    <w:p>
      <w:pPr>
        <w:pStyle w:val="BodyText"/>
        <w:bidi w:val="0"/>
        <w:spacing w:before="60" w:after="80"/>
        <w:jc w:val="start"/>
        <w:rPr/>
      </w:pPr>
      <w:r>
        <w:rPr>
          <w:rStyle w:val="Strong"/>
          <w:rFonts w:eastAsia="Arial" w:cs="Arial" w:ascii="Arial" w:hAnsi="Arial"/>
          <w:color w:val="1F2937"/>
          <w:sz w:val="22"/>
          <w:szCs w:val="22"/>
        </w:rPr>
        <w:t>Modalidad de trabajo</w:t>
      </w:r>
    </w:p>
    <w:p>
      <w:pPr>
        <w:pStyle w:val="BodyText"/>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t>Las tres modalidades de trabajo presentan medianas salariales muy similares entre sí, sin una diferencia clara y consistente. El trabajo remoto e híbrido muestran distribuciones prácticamente equivalentes, mientras que el trabajo presencial presenta una mediana levemente inferior y una dispersión algo menor. Este hallazgo es contrario a la intuición de que el trabajo remoto estaría asociado a salarios más altos, y sugiere que la modalidad no sería un determinante relevante del salario en este sector, o que su efecto está mediado por otras variables como el rol o la dolarización.</w:t>
      </w:r>
    </w:p>
    <w:p>
      <w:pPr>
        <w:pStyle w:val="BodyText"/>
        <w:bidi w:val="0"/>
        <w:spacing w:before="60" w:after="80"/>
        <w:jc w:val="start"/>
        <w:rPr/>
      </w:pPr>
      <w:r>
        <w:rPr>
          <w:rStyle w:val="Strong"/>
          <w:rFonts w:eastAsia="Arial" w:cs="Arial" w:ascii="Arial" w:hAnsi="Arial"/>
          <w:color w:val="1F2937"/>
          <w:sz w:val="22"/>
          <w:szCs w:val="22"/>
        </w:rPr>
        <w:t>Dolarización del sueldo</w:t>
      </w:r>
    </w:p>
    <w:p>
      <w:pPr>
        <w:pStyle w:val="BodyText"/>
        <w:bidi w:val="0"/>
        <w:spacing w:before="60" w:after="80"/>
        <w:jc w:val="start"/>
        <w:rPr/>
      </w:pPr>
      <w:r>
        <w:rPr>
          <w:rFonts w:eastAsia="Arial" w:cs="Arial" w:ascii="Arial" w:hAnsi="Arial"/>
          <w:color w:val="1F2937"/>
          <w:sz w:val="22"/>
          <w:szCs w:val="22"/>
        </w:rPr>
        <w:t xml:space="preserve">La dolarización del sueldo muestra la diferencia salarial más pronunciada de todas las variables categóricas analizadas. Los encuestados que perciben su remuneración en dólares presentan una mediana notablemente superior (~14,9) respecto a quienes cobran en pesos (~14,7), con menor dispersión en el rango intercuartílico. Este hallazgo conecta directamente con la distribución bimodal observada en </w:t>
      </w:r>
      <w:r>
        <w:rPr>
          <w:rStyle w:val="SourceText"/>
          <w:rFonts w:eastAsia="Arial" w:cs="Arial" w:ascii="Arial" w:hAnsi="Arial"/>
          <w:color w:val="1F2937"/>
          <w:sz w:val="22"/>
          <w:szCs w:val="22"/>
        </w:rPr>
        <w:t>log_sal</w:t>
      </w:r>
      <w:r>
        <w:rPr>
          <w:rFonts w:eastAsia="Arial" w:cs="Arial" w:ascii="Arial" w:hAnsi="Arial"/>
          <w:color w:val="1F2937"/>
          <w:sz w:val="22"/>
          <w:szCs w:val="22"/>
        </w:rPr>
        <w:t xml:space="preserve"> en la sección 3, donde los dos picos podrían corresponder precisamente a estos dos grupos.</w:t>
      </w:r>
    </w:p>
    <w:p>
      <w:pPr>
        <w:pStyle w:val="BodyText"/>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t>El gráfico de dispersión por experiencia confirma que la brecha salarial entre dolarizados y no dolarizados se mantiene en todos los niveles de experiencia. Ambos grupos muestran una tendencia positiva con la experiencia, pero los dolarizados parten de una base consistentemente más alta y la mantienen a lo largo de toda la trayectoria laboral.</w:t>
      </w:r>
    </w:p>
    <w:p>
      <w:pPr>
        <w:pStyle w:val="BodyText"/>
        <w:bidi w:val="0"/>
        <w:spacing w:before="60" w:after="80"/>
        <w:jc w:val="start"/>
        <w:rPr/>
      </w:pPr>
      <w:r>
        <w:rPr>
          <w:rStyle w:val="Strong"/>
          <w:rFonts w:eastAsia="Arial" w:cs="Arial" w:ascii="Arial" w:hAnsi="Arial"/>
          <w:color w:val="1F2937"/>
          <w:sz w:val="22"/>
          <w:szCs w:val="22"/>
        </w:rPr>
        <w:t>Tamaño de la organización</w:t>
      </w:r>
    </w:p>
    <w:p>
      <w:pPr>
        <w:pStyle w:val="BodyText"/>
        <w:bidi w:val="0"/>
        <w:spacing w:before="60" w:after="80"/>
        <w:jc w:val="start"/>
        <w:rPr/>
      </w:pPr>
      <w:r>
        <w:rPr>
          <w:rFonts w:eastAsia="Arial" w:cs="Arial" w:ascii="Arial" w:hAnsi="Arial"/>
          <w:color w:val="1F2937"/>
          <w:sz w:val="22"/>
          <w:szCs w:val="22"/>
        </w:rPr>
        <w:t>El tamaño de la organización no muestra una relación clara y consistente con el salario. Las medianas salariales son notablemente similares entre empresas de todos los tamaños, desde organizaciones unipersonales hasta corporaciones de más de 10.000 personas. Esto sugiere que el tamaño de la empresa no aportaría poder explicativo relevante al modelo de regresión.</w:t>
      </w:r>
    </w:p>
    <w:p>
      <w:pPr>
        <w:pStyle w:val="BodyText"/>
        <w:bidi w:val="0"/>
        <w:spacing w:before="60" w:after="80"/>
        <w:jc w:val="start"/>
        <w:rPr/>
      </w:pPr>
      <w:r>
        <w:rPr>
          <w:rStyle w:val="Strong"/>
          <w:rFonts w:eastAsia="Arial" w:cs="Arial" w:ascii="Arial" w:hAnsi="Arial"/>
          <w:color w:val="1F2937"/>
          <w:sz w:val="22"/>
          <w:szCs w:val="22"/>
        </w:rPr>
        <w:t>Personas a cargo</w:t>
      </w:r>
    </w:p>
    <w:p>
      <w:pPr>
        <w:pStyle w:val="BodyText"/>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t>Los encuestados que lideran equipos grandes presentan la mediana salarial más alta, aunque también la mayor dispersión. Sin embargo, las diferencias entre "Sin equipo", "Equipo pequeño" y "Equipo mediano" son menores de lo esperado, lo que sugiere que la relación entre liderazgo de equipos y salario no es lineal y podría estar mediada por el seniority o el grupo de rol.</w:t>
      </w:r>
    </w:p>
    <w:p>
      <w:pPr>
        <w:pStyle w:val="BodyText"/>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r>
    </w:p>
    <w:p>
      <w:pPr>
        <w:pStyle w:val="Heading1"/>
        <w:keepNext w:val="true"/>
        <w:pBdr>
          <w:bottom w:val="single" w:sz="4" w:space="6" w:color="2563EB"/>
        </w:pBdr>
        <w:bidi w:val="0"/>
        <w:jc w:val="start"/>
        <w:rPr>
          <w:rFonts w:ascii="Arial" w:hAnsi="Arial"/>
        </w:rPr>
      </w:pPr>
      <w:r>
        <w:rPr/>
        <w:t xml:space="preserve">6. </w:t>
      </w:r>
      <w:r>
        <w:rPr/>
        <w:t>Variables C</w:t>
      </w:r>
      <w:r>
        <w:rPr/>
        <w:t xml:space="preserve">onfundidoras - </w:t>
      </w:r>
      <w:r>
        <w:rPr/>
        <w:t>Género y Seniority</w:t>
      </w:r>
    </w:p>
    <w:p>
      <w:pPr>
        <w:pStyle w:val="Normal"/>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r>
    </w:p>
    <w:p>
      <w:pPr>
        <w:pStyle w:val="Normal"/>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t>El análisis de la variable género requiere especial cuidado metodológico debido a la presencia de variables confundidoras. Se presentan tres gráficos en secuencia para ilustrar este fenómeno.</w:t>
      </w:r>
    </w:p>
    <w:p>
      <w:pPr>
        <w:pStyle w:val="Normal"/>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r>
    </w:p>
    <w:p>
      <w:pPr>
        <w:pStyle w:val="BodyText"/>
        <w:bidi w:val="0"/>
        <w:spacing w:before="60" w:after="80"/>
        <w:jc w:val="start"/>
        <w:rPr>
          <w:rFonts w:ascii="Arial" w:hAnsi="Arial" w:eastAsia="Arial" w:cs="Arial"/>
          <w:color w:val="1F2937"/>
          <w:sz w:val="22"/>
          <w:szCs w:val="22"/>
        </w:rPr>
      </w:pPr>
      <w:r>
        <w:rPr>
          <w:rStyle w:val="Strong"/>
          <w:rFonts w:eastAsia="Arial" w:cs="Arial" w:ascii="Arial" w:hAnsi="Arial"/>
          <w:color w:val="1F2937"/>
          <w:sz w:val="22"/>
          <w:szCs w:val="22"/>
        </w:rPr>
        <w:t>Distribución salarial según género — sin controlar</w:t>
      </w:r>
    </w:p>
    <w:p>
      <w:pPr>
        <w:pStyle w:val="BodyText"/>
        <w:spacing w:before="60" w:after="80"/>
        <w:rPr>
          <w:rFonts w:ascii="Arial" w:hAnsi="Arial" w:eastAsia="Arial" w:cs="Arial"/>
          <w:color w:val="1F2937"/>
          <w:sz w:val="22"/>
          <w:szCs w:val="22"/>
        </w:rPr>
      </w:pPr>
      <w:r>
        <w:rPr>
          <w:rFonts w:eastAsia="Arial" w:cs="Arial" w:ascii="Arial" w:hAnsi="Arial"/>
          <w:color w:val="1F2937"/>
          <w:sz w:val="22"/>
          <w:szCs w:val="22"/>
        </w:rPr>
        <w:t>Al comparar las distribuciones salariales por género sin incorporar otras variables, se observa que las mujeres presentan una mediana salarial levemente superior a la de los hombres, mientras que la categoría Otro/No binarie muestra una mediana algo inferior. Esta observación podría llevar a conclusiones erróneas sobre la ausencia de brecha salarial de género en el sector.</w:t>
      </w:r>
    </w:p>
    <w:p>
      <w:pPr>
        <w:pStyle w:val="Normal"/>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r>
    </w:p>
    <w:p>
      <w:pPr>
        <w:pStyle w:val="BodyText"/>
        <w:bidi w:val="0"/>
        <w:spacing w:before="60" w:after="80"/>
        <w:jc w:val="start"/>
        <w:rPr>
          <w:rFonts w:ascii="Arial" w:hAnsi="Arial" w:eastAsia="Arial" w:cs="Arial"/>
          <w:color w:val="1F2937"/>
          <w:sz w:val="22"/>
          <w:szCs w:val="22"/>
        </w:rPr>
      </w:pPr>
      <w:r>
        <w:rPr>
          <w:rStyle w:val="Strong"/>
          <w:rFonts w:eastAsia="Arial" w:cs="Arial" w:ascii="Arial" w:hAnsi="Arial"/>
          <w:color w:val="1F2937"/>
          <w:sz w:val="22"/>
          <w:szCs w:val="22"/>
        </w:rPr>
        <w:t>Distribución salarial según género y seniority — controlando la confundidora</w:t>
      </w:r>
    </w:p>
    <w:p>
      <w:pPr>
        <w:pStyle w:val="BodyText"/>
        <w:spacing w:before="60" w:after="80"/>
        <w:rPr>
          <w:rFonts w:ascii="Arial" w:hAnsi="Arial" w:eastAsia="Arial" w:cs="Arial"/>
          <w:color w:val="1F2937"/>
          <w:sz w:val="22"/>
          <w:szCs w:val="22"/>
        </w:rPr>
      </w:pPr>
      <w:r>
        <w:rPr>
          <w:rFonts w:eastAsia="Arial" w:cs="Arial" w:ascii="Arial" w:hAnsi="Arial"/>
          <w:color w:val="1F2937"/>
          <w:sz w:val="22"/>
          <w:szCs w:val="22"/>
        </w:rPr>
        <w:t>Al incorporar el seniority como variable de control, el panorama cambia. Dentro de cada nivel de seniority, las distribuciones salariales de hombres y mujeres son muy similares entre sí. La diferencia observada en el gráfico anterior no refleja una ventaja salarial real de las mujeres, sino que está mediada por la composición de seniority dentro de cada grupo de género.</w:t>
      </w:r>
    </w:p>
    <w:p>
      <w:pPr>
        <w:pStyle w:val="Normal"/>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r>
    </w:p>
    <w:p>
      <w:pPr>
        <w:pStyle w:val="BodyText"/>
        <w:bidi w:val="0"/>
        <w:spacing w:before="60" w:after="80"/>
        <w:jc w:val="start"/>
        <w:rPr>
          <w:rFonts w:ascii="Arial" w:hAnsi="Arial" w:eastAsia="Arial" w:cs="Arial"/>
          <w:color w:val="1F2937"/>
          <w:sz w:val="22"/>
          <w:szCs w:val="22"/>
        </w:rPr>
      </w:pPr>
      <w:r>
        <w:rPr>
          <w:rStyle w:val="Strong"/>
          <w:rFonts w:eastAsia="Arial" w:cs="Arial" w:ascii="Arial" w:hAnsi="Arial"/>
          <w:color w:val="1F2937"/>
          <w:sz w:val="22"/>
          <w:szCs w:val="22"/>
        </w:rPr>
        <w:t>Proporción de seniority según género — explicando la confusión</w:t>
      </w:r>
    </w:p>
    <w:p>
      <w:pPr>
        <w:pStyle w:val="BodyText"/>
        <w:spacing w:before="60" w:after="80"/>
        <w:rPr>
          <w:rFonts w:ascii="Arial" w:hAnsi="Arial" w:eastAsia="Arial" w:cs="Arial"/>
          <w:color w:val="1F2937"/>
          <w:sz w:val="22"/>
          <w:szCs w:val="22"/>
        </w:rPr>
      </w:pPr>
      <w:r>
        <w:rPr>
          <w:rFonts w:eastAsia="Arial" w:cs="Arial" w:ascii="Arial" w:hAnsi="Arial"/>
          <w:color w:val="1F2937"/>
          <w:sz w:val="22"/>
          <w:szCs w:val="22"/>
        </w:rPr>
        <w:t>El gráfico de proporciones revela el mecanismo detrás de la confusión: los hombres tienen una proporción de Senior notablemente mayor (~50%) que las mujeres (~30%), mientras que las mujeres están más representadas en los niveles Semi-Senior y Junior. Dado que el seniority tiene un efecto positivo claro sobre el salario, esta diferencia en la composición explica por qué las medianas brutas por género no reflejan fielmente las diferencias salariales reales.</w:t>
      </w:r>
    </w:p>
    <w:p>
      <w:pPr>
        <w:pStyle w:val="BodyText"/>
        <w:spacing w:before="60" w:after="80"/>
        <w:rPr>
          <w:rFonts w:ascii="Arial" w:hAnsi="Arial" w:eastAsia="Arial" w:cs="Arial"/>
          <w:color w:val="1F2937"/>
          <w:sz w:val="22"/>
          <w:szCs w:val="22"/>
        </w:rPr>
      </w:pPr>
      <w:r>
        <w:rPr>
          <w:rStyle w:val="Strong"/>
          <w:rFonts w:eastAsia="Arial" w:cs="Arial" w:ascii="Arial" w:hAnsi="Arial"/>
          <w:color w:val="1F2937"/>
          <w:sz w:val="22"/>
          <w:szCs w:val="22"/>
        </w:rPr>
        <w:t>Conclusión metodológica</w:t>
      </w:r>
    </w:p>
    <w:p>
      <w:pPr>
        <w:pStyle w:val="BodyText"/>
        <w:spacing w:before="60" w:after="80"/>
        <w:rPr>
          <w:rFonts w:ascii="Arial" w:hAnsi="Arial" w:eastAsia="Arial" w:cs="Arial"/>
          <w:color w:val="1F2937"/>
          <w:sz w:val="22"/>
          <w:szCs w:val="22"/>
        </w:rPr>
      </w:pPr>
      <w:r>
        <w:rPr>
          <w:rFonts w:eastAsia="Arial" w:cs="Arial" w:ascii="Arial" w:hAnsi="Arial"/>
          <w:color w:val="1F2937"/>
          <w:sz w:val="22"/>
          <w:szCs w:val="22"/>
        </w:rPr>
        <w:t>El género no puede analizarse de forma aislada como determinante salarial. El seniority actúa como variable confundidora: las diferencias observadas entre géneros se explican en gran medida por la distinta distribución de niveles de seniority. Esta distinción será considerada en el modelado, donde ambas variables serán incorporadas simultáneamente.</w:t>
      </w:r>
    </w:p>
    <w:p>
      <w:pPr>
        <w:pStyle w:val="Normal"/>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r>
    </w:p>
    <w:p>
      <w:pPr>
        <w:pStyle w:val="Normal"/>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r>
    </w:p>
    <w:p>
      <w:pPr>
        <w:pStyle w:val="Heading1"/>
        <w:keepNext w:val="true"/>
        <w:pBdr>
          <w:bottom w:val="single" w:sz="4" w:space="6" w:color="2563EB"/>
        </w:pBdr>
        <w:bidi w:val="0"/>
        <w:jc w:val="start"/>
        <w:rPr>
          <w:rFonts w:ascii="Arial" w:hAnsi="Arial"/>
        </w:rPr>
      </w:pPr>
      <w:r>
        <w:rPr/>
        <w:t>7. Region y Roles</w:t>
      </w:r>
    </w:p>
    <w:p>
      <w:pPr>
        <w:pStyle w:val="Normal"/>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r>
    </w:p>
    <w:p>
      <w:pPr>
        <w:pStyle w:val="Normal"/>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r>
    </w:p>
    <w:p>
      <w:pPr>
        <w:pStyle w:val="BodyText"/>
        <w:widowControl/>
        <w:suppressAutoHyphens w:val="true"/>
        <w:bidi w:val="0"/>
        <w:spacing w:before="60" w:after="80"/>
        <w:jc w:val="start"/>
        <w:rPr/>
      </w:pPr>
      <w:r>
        <w:rPr>
          <w:rStyle w:val="Strong"/>
          <w:rFonts w:eastAsia="Arial" w:cs="Arial" w:ascii="Arial" w:hAnsi="Arial"/>
          <w:color w:val="1F2937"/>
          <w:kern w:val="2"/>
          <w:sz w:val="22"/>
          <w:szCs w:val="22"/>
          <w:lang w:val="es-AR" w:eastAsia="zh-CN" w:bidi="hi-IN"/>
        </w:rPr>
        <w:t>Distribución salarial según región</w:t>
      </w:r>
    </w:p>
    <w:p>
      <w:pPr>
        <w:pStyle w:val="BodyText"/>
        <w:widowControl/>
        <w:suppressAutoHyphens w:val="true"/>
        <w:bidi w:val="0"/>
        <w:spacing w:before="60" w:after="80"/>
        <w:jc w:val="start"/>
        <w:rPr>
          <w:rFonts w:ascii="Arial" w:hAnsi="Arial" w:eastAsia="Arial" w:cs="Arial"/>
          <w:color w:val="1F2937"/>
          <w:kern w:val="2"/>
          <w:sz w:val="22"/>
          <w:szCs w:val="22"/>
          <w:lang w:val="es-AR" w:eastAsia="zh-CN" w:bidi="hi-IN"/>
        </w:rPr>
      </w:pPr>
      <w:r>
        <w:rPr>
          <w:rFonts w:eastAsia="Arial" w:cs="Arial" w:ascii="Arial" w:hAnsi="Arial"/>
          <w:color w:val="1F2937"/>
          <w:kern w:val="2"/>
          <w:sz w:val="22"/>
          <w:szCs w:val="22"/>
          <w:lang w:val="es-AR" w:eastAsia="zh-CN" w:bidi="hi-IN"/>
        </w:rPr>
        <w:t>Se analizaron tres regiones: Ciudad Autónoma de Buenos Aires (CABA), GBA / Provincia de Buenos Aires e Interior del país. El dataset cuenta con 8.461 observaciones en CABA, 915 en GBA/Prov. BA y 5.912 en Interior.</w:t>
      </w:r>
    </w:p>
    <w:p>
      <w:pPr>
        <w:pStyle w:val="BodyText"/>
        <w:widowControl/>
        <w:suppressAutoHyphens w:val="true"/>
        <w:bidi w:val="0"/>
        <w:spacing w:before="60" w:after="80"/>
        <w:jc w:val="start"/>
        <w:rPr>
          <w:rFonts w:ascii="Arial" w:hAnsi="Arial" w:eastAsia="Arial" w:cs="Arial"/>
          <w:color w:val="1F2937"/>
          <w:kern w:val="2"/>
          <w:sz w:val="22"/>
          <w:szCs w:val="22"/>
          <w:lang w:val="es-AR" w:eastAsia="zh-CN" w:bidi="hi-IN"/>
        </w:rPr>
      </w:pPr>
      <w:r>
        <w:rPr>
          <w:rFonts w:eastAsia="Arial" w:cs="Arial" w:ascii="Arial" w:hAnsi="Arial"/>
          <w:color w:val="1F2937"/>
          <w:kern w:val="2"/>
          <w:sz w:val="22"/>
          <w:szCs w:val="22"/>
          <w:lang w:val="es-AR" w:eastAsia="zh-CN" w:bidi="hi-IN"/>
        </w:rPr>
        <w:t>CABA e Interior presentan distribuciones salariales muy similares, con medianas cercanas y rangos intercuartílicos amplios que reflejan la heterogeneidad de roles y seniority dentro de cada región. GBA/Prov. BA muestra una mediana levemente superior y una distribución más compacta. Este resultado podría explicarse por el perfil de los encuestados en esa región: profesionales que trabajan de forma remota para empresas radicadas en CABA, accediendo a salarios altos sin las particularidades del mercado laboral porteño. La región será incorporada como variable de control en el modelado pero no se espera que sea un predictor de alto impacto.</w:t>
      </w:r>
    </w:p>
    <w:p>
      <w:pPr>
        <w:pStyle w:val="BodyText"/>
        <w:widowControl/>
        <w:suppressAutoHyphens w:val="true"/>
        <w:bidi w:val="0"/>
        <w:spacing w:before="60" w:after="80"/>
        <w:jc w:val="start"/>
        <w:rPr/>
      </w:pPr>
      <w:r>
        <w:rPr>
          <w:rStyle w:val="Strong"/>
          <w:rFonts w:eastAsia="Arial" w:cs="Arial" w:ascii="Arial" w:hAnsi="Arial"/>
          <w:color w:val="1F2937"/>
          <w:kern w:val="2"/>
          <w:sz w:val="22"/>
          <w:szCs w:val="22"/>
          <w:lang w:val="es-AR" w:eastAsia="zh-CN" w:bidi="hi-IN"/>
        </w:rPr>
        <w:t>Distribución salarial según grupo de rol</w:t>
      </w:r>
    </w:p>
    <w:p>
      <w:pPr>
        <w:pStyle w:val="BodyText"/>
        <w:widowControl/>
        <w:suppressAutoHyphens w:val="true"/>
        <w:bidi w:val="0"/>
        <w:spacing w:before="60" w:after="80"/>
        <w:jc w:val="start"/>
        <w:rPr/>
      </w:pPr>
      <w:r>
        <w:rPr>
          <w:rStyle w:val="Strong"/>
          <w:rFonts w:eastAsia="Arial" w:cs="Arial" w:ascii="Arial" w:hAnsi="Arial"/>
          <w:b w:val="false"/>
          <w:bCs w:val="false"/>
          <w:color w:val="1F2937"/>
          <w:kern w:val="2"/>
          <w:sz w:val="22"/>
          <w:szCs w:val="22"/>
          <w:lang w:val="es-AR" w:eastAsia="zh-CN" w:bidi="hi-IN"/>
        </w:rPr>
        <w:t>Los cuatro grupos de rol presentan distribuciones con cierta diferenciación. Data Science / AI muestra la mediana más alta, seguido por Governance / Security. Data Platform / MLOps, a pesar de concentrar el 50% de las observaciones del dataset, presenta la mediana más baja entre los cuatro grupos. Analytics / Automation ocupa una posición intermedia.</w:t>
      </w:r>
    </w:p>
    <w:p>
      <w:pPr>
        <w:pStyle w:val="BodyText"/>
        <w:widowControl/>
        <w:suppressAutoHyphens w:val="true"/>
        <w:bidi w:val="0"/>
        <w:spacing w:before="60" w:after="80"/>
        <w:jc w:val="start"/>
        <w:rPr/>
      </w:pPr>
      <w:r>
        <w:rPr>
          <w:rFonts w:eastAsia="Arial" w:cs="Arial" w:ascii="Arial" w:hAnsi="Arial"/>
          <w:color w:val="1F2937"/>
          <w:kern w:val="2"/>
          <w:sz w:val="22"/>
          <w:szCs w:val="22"/>
          <w:lang w:val="es-AR" w:eastAsia="zh-CN" w:bidi="hi-IN"/>
        </w:rPr>
        <w:t xml:space="preserve">La dispersión es amplia en todos los grupos, lo que sugiere que el grupo de rol por sí solo no determina el salario y que variables como el seniority y la dolarización tienen un efecto transversal </w:t>
      </w:r>
      <w:r>
        <w:rPr>
          <w:rStyle w:val="Strong"/>
          <w:rFonts w:eastAsia="Arial" w:cs="Arial" w:ascii="Arial" w:hAnsi="Arial"/>
          <w:b w:val="false"/>
          <w:bCs w:val="false"/>
          <w:color w:val="1F2937"/>
          <w:kern w:val="2"/>
          <w:sz w:val="22"/>
          <w:szCs w:val="22"/>
          <w:lang w:val="es-AR" w:eastAsia="zh-CN" w:bidi="hi-IN"/>
        </w:rPr>
        <w:t>a todos los grupos.</w:t>
      </w:r>
    </w:p>
    <w:p>
      <w:pPr>
        <w:pStyle w:val="BodyText"/>
        <w:widowControl/>
        <w:suppressAutoHyphens w:val="true"/>
        <w:bidi w:val="0"/>
        <w:spacing w:before="60" w:after="80"/>
        <w:jc w:val="start"/>
        <w:rPr/>
      </w:pPr>
      <w:r>
        <w:rPr>
          <w:rStyle w:val="Strong"/>
          <w:rFonts w:eastAsia="Arial" w:cs="Arial" w:ascii="Arial" w:hAnsi="Arial"/>
          <w:color w:val="000000"/>
          <w:kern w:val="2"/>
          <w:sz w:val="22"/>
          <w:szCs w:val="22"/>
          <w:lang w:val="es-AR" w:eastAsia="zh-CN" w:bidi="hi-IN"/>
        </w:rPr>
        <w:t>Distribución salarial por rol individual — Top 15</w:t>
      </w:r>
    </w:p>
    <w:p>
      <w:pPr>
        <w:pStyle w:val="BodyText"/>
        <w:widowControl/>
        <w:suppressAutoHyphens w:val="true"/>
        <w:bidi w:val="0"/>
        <w:spacing w:before="60" w:after="80"/>
        <w:jc w:val="start"/>
        <w:rPr/>
      </w:pPr>
      <w:r>
        <w:rPr>
          <w:rStyle w:val="Strong"/>
          <w:rFonts w:eastAsia="Arial" w:cs="Arial" w:ascii="Arial" w:hAnsi="Arial"/>
          <w:b w:val="false"/>
          <w:bCs w:val="false"/>
          <w:color w:val="1F2937"/>
          <w:kern w:val="2"/>
          <w:sz w:val="22"/>
          <w:szCs w:val="22"/>
          <w:lang w:val="es-AR" w:eastAsia="zh-CN" w:bidi="hi-IN"/>
        </w:rPr>
        <w:t>El análisis por rol individual muestra una variabilidad considerable dentro de cada grupo. Entre los roles con medianas más altas se encuentran AI Engineer y Data Governance / GRC, mientras que DBA y Analista de seguridad se ubican en el extremo inferior. Los roles del grupo Data Science / AI tienden a concentrarse en la mitad superior de la distribución, consistente con lo observado en el análisis por grupos.</w:t>
      </w:r>
    </w:p>
    <w:p>
      <w:pPr>
        <w:pStyle w:val="BodyText"/>
        <w:widowControl/>
        <w:suppressAutoHyphens w:val="true"/>
        <w:bidi w:val="0"/>
        <w:spacing w:before="60" w:after="80"/>
        <w:jc w:val="start"/>
        <w:rPr/>
      </w:pPr>
      <w:r>
        <w:rPr>
          <w:rStyle w:val="Strong"/>
          <w:rFonts w:eastAsia="Arial" w:cs="Arial" w:ascii="Arial" w:hAnsi="Arial"/>
          <w:b w:val="false"/>
          <w:bCs w:val="false"/>
          <w:color w:val="1F2937"/>
          <w:kern w:val="2"/>
          <w:sz w:val="22"/>
          <w:szCs w:val="22"/>
          <w:lang w:val="es-AR" w:eastAsia="zh-CN" w:bidi="hi-IN"/>
        </w:rPr>
        <w:t>La alta dispersión dentro de cada rol confirma que el título del puesto no determina unívocamente el salario, y que variables como experiencia, seniority y dolarización operan de forma transversal independientemente del rol específico.</w:t>
      </w:r>
    </w:p>
    <w:p>
      <w:pPr>
        <w:pStyle w:val="BodyText"/>
        <w:widowControl/>
        <w:suppressAutoHyphens w:val="true"/>
        <w:bidi w:val="0"/>
        <w:spacing w:before="60" w:after="80"/>
        <w:jc w:val="start"/>
        <w:rPr>
          <w:rStyle w:val="Strong"/>
          <w:rFonts w:ascii="Arial" w:hAnsi="Arial" w:eastAsia="Arial" w:cs="Arial"/>
          <w:color w:val="1F2937"/>
          <w:kern w:val="2"/>
          <w:sz w:val="22"/>
          <w:szCs w:val="22"/>
          <w:lang w:val="es-AR" w:eastAsia="zh-CN" w:bidi="hi-IN"/>
        </w:rPr>
      </w:pPr>
      <w:r>
        <w:rPr/>
      </w:r>
    </w:p>
    <w:p>
      <w:pPr>
        <w:pStyle w:val="Heading1"/>
        <w:keepNext w:val="true"/>
        <w:pBdr>
          <w:bottom w:val="single" w:sz="4" w:space="6" w:color="2563EB"/>
        </w:pBdr>
        <w:bidi w:val="0"/>
        <w:jc w:val="start"/>
        <w:rPr>
          <w:rFonts w:ascii="Arial" w:hAnsi="Arial"/>
        </w:rPr>
      </w:pPr>
      <w:r>
        <w:rPr/>
        <w:t>8. Conclusiones del EDA</w:t>
      </w:r>
    </w:p>
    <w:p>
      <w:pPr>
        <w:pStyle w:val="Normal"/>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r>
    </w:p>
    <w:p>
      <w:pPr>
        <w:pStyle w:val="BodyText"/>
        <w:widowControl/>
        <w:suppressAutoHyphens w:val="true"/>
        <w:bidi w:val="0"/>
        <w:spacing w:before="60" w:after="80"/>
        <w:jc w:val="start"/>
        <w:rPr/>
      </w:pPr>
      <w:r>
        <w:rPr>
          <w:rStyle w:val="Strong"/>
          <w:rFonts w:eastAsia="Arial" w:cs="Arial" w:ascii="Arial" w:hAnsi="Arial"/>
          <w:b w:val="false"/>
          <w:bCs w:val="false"/>
          <w:color w:val="1F2937"/>
          <w:kern w:val="2"/>
          <w:sz w:val="22"/>
          <w:szCs w:val="22"/>
          <w:lang w:val="es-AR" w:eastAsia="zh-CN" w:bidi="hi-IN"/>
        </w:rPr>
        <w:t>El análisis exploratorio permitió identificar los principales patrones y relaciones presentes en el dataset, orientando las decisiones metodológicas para la etapa de modelado.</w:t>
      </w:r>
    </w:p>
    <w:p>
      <w:pPr>
        <w:pStyle w:val="BodyText"/>
        <w:widowControl/>
        <w:suppressAutoHyphens w:val="true"/>
        <w:bidi w:val="0"/>
        <w:spacing w:before="60" w:after="80"/>
        <w:jc w:val="start"/>
        <w:rPr>
          <w:rStyle w:val="Strong"/>
          <w:rFonts w:ascii="Arial" w:hAnsi="Arial" w:eastAsia="Arial" w:cs="Arial"/>
          <w:b/>
          <w:bCs/>
          <w:color w:val="1F2937"/>
          <w:kern w:val="2"/>
          <w:sz w:val="22"/>
          <w:szCs w:val="22"/>
          <w:lang w:val="es-AR" w:eastAsia="zh-CN" w:bidi="hi-IN"/>
        </w:rPr>
      </w:pPr>
      <w:r>
        <w:rPr/>
      </w:r>
    </w:p>
    <w:p>
      <w:pPr>
        <w:pStyle w:val="BodyText"/>
        <w:widowControl/>
        <w:suppressAutoHyphens w:val="true"/>
        <w:bidi w:val="0"/>
        <w:spacing w:before="60" w:after="80"/>
        <w:jc w:val="start"/>
        <w:rPr/>
      </w:pPr>
      <w:r>
        <w:rPr>
          <w:rStyle w:val="Strong"/>
          <w:rFonts w:eastAsia="Arial" w:cs="Arial" w:ascii="Arial" w:hAnsi="Arial"/>
          <w:b/>
          <w:bCs/>
          <w:color w:val="1F2937"/>
          <w:kern w:val="2"/>
          <w:sz w:val="22"/>
          <w:szCs w:val="22"/>
          <w:lang w:val="es-AR" w:eastAsia="zh-CN" w:bidi="hi-IN"/>
        </w:rPr>
        <w:t>Sobre la variable objetivo</w:t>
      </w:r>
    </w:p>
    <w:p>
      <w:pPr>
        <w:pStyle w:val="BodyText"/>
        <w:widowControl/>
        <w:suppressAutoHyphens w:val="true"/>
        <w:bidi w:val="0"/>
        <w:spacing w:before="60" w:after="80"/>
        <w:jc w:val="start"/>
        <w:rPr/>
      </w:pPr>
      <w:r>
        <w:rPr>
          <w:rStyle w:val="Strong"/>
          <w:rFonts w:eastAsia="Arial" w:cs="Arial" w:ascii="Arial" w:hAnsi="Arial"/>
          <w:b w:val="false"/>
          <w:bCs w:val="false"/>
          <w:color w:val="1F2937"/>
          <w:kern w:val="2"/>
          <w:sz w:val="22"/>
          <w:szCs w:val="22"/>
          <w:lang w:val="es-AR" w:eastAsia="zh-CN" w:bidi="hi-IN"/>
        </w:rPr>
        <w:t>La distribución del salario bruto presenta una marcada asimetría positiva, corregida mediante transformación logarítmica (log_sal). La distribución resultante exhibe un comportamiento bimodal que sugiere la existencia de dos grupos salariales diferenciados, posiblemente asociados a trabajadores con sueldos en pesos y trabajadores con sueldos dolarizados.</w:t>
      </w:r>
    </w:p>
    <w:p>
      <w:pPr>
        <w:pStyle w:val="BodyText"/>
        <w:widowControl/>
        <w:suppressAutoHyphens w:val="true"/>
        <w:bidi w:val="0"/>
        <w:spacing w:before="60" w:after="80"/>
        <w:jc w:val="start"/>
        <w:rPr/>
      </w:pPr>
      <w:r>
        <w:rPr>
          <w:rStyle w:val="Strong"/>
          <w:rFonts w:eastAsia="Arial" w:cs="Arial" w:ascii="Arial" w:hAnsi="Arial"/>
          <w:b w:val="false"/>
          <w:bCs w:val="false"/>
          <w:color w:val="1F2937"/>
          <w:kern w:val="2"/>
          <w:sz w:val="22"/>
          <w:szCs w:val="22"/>
          <w:lang w:val="es-AR" w:eastAsia="zh-CN" w:bidi="hi-IN"/>
        </w:rPr>
        <w:t>Variables con mayor poder explicativo</w:t>
      </w:r>
    </w:p>
    <w:p>
      <w:pPr>
        <w:pStyle w:val="BodyText"/>
        <w:widowControl/>
        <w:suppressAutoHyphens w:val="true"/>
        <w:bidi w:val="0"/>
        <w:spacing w:before="60" w:after="80"/>
        <w:jc w:val="start"/>
        <w:rPr/>
      </w:pPr>
      <w:r>
        <w:rPr>
          <w:rStyle w:val="Strong"/>
          <w:rFonts w:eastAsia="Arial" w:cs="Arial" w:ascii="Arial" w:hAnsi="Arial"/>
          <w:b w:val="false"/>
          <w:bCs w:val="false"/>
          <w:color w:val="1F2937"/>
          <w:kern w:val="2"/>
          <w:sz w:val="22"/>
          <w:szCs w:val="22"/>
          <w:lang w:val="es-AR" w:eastAsia="zh-CN" w:bidi="hi-IN"/>
        </w:rPr>
        <w:t>El análisis exploratorio identificó las siguientes variables como las más relevantes para explicar las diferencias salariales:</w:t>
      </w:r>
    </w:p>
    <w:p>
      <w:pPr>
        <w:pStyle w:val="BodyText"/>
        <w:widowControl/>
        <w:suppressAutoHyphens w:val="true"/>
        <w:bidi w:val="0"/>
        <w:spacing w:before="60" w:after="80"/>
        <w:jc w:val="start"/>
        <w:rPr>
          <w:rStyle w:val="Strong"/>
          <w:rFonts w:ascii="Arial" w:hAnsi="Arial" w:eastAsia="Arial" w:cs="Arial"/>
          <w:b w:val="false"/>
          <w:bCs w:val="false"/>
          <w:color w:val="1F2937"/>
          <w:kern w:val="2"/>
          <w:sz w:val="22"/>
          <w:szCs w:val="22"/>
          <w:lang w:val="es-AR" w:eastAsia="zh-CN" w:bidi="hi-IN"/>
        </w:rPr>
      </w:pPr>
      <w:r>
        <w:rPr/>
      </w:r>
    </w:p>
    <w:p>
      <w:pPr>
        <w:pStyle w:val="BodyText"/>
        <w:widowControl/>
        <w:numPr>
          <w:ilvl w:val="0"/>
          <w:numId w:val="1"/>
        </w:numPr>
        <w:tabs>
          <w:tab w:val="clear" w:pos="709"/>
          <w:tab w:val="left" w:pos="0" w:leader="none"/>
        </w:tabs>
        <w:suppressAutoHyphens w:val="true"/>
        <w:bidi w:val="0"/>
        <w:spacing w:before="60" w:after="80"/>
        <w:ind w:hanging="283" w:start="709"/>
        <w:jc w:val="start"/>
        <w:rPr/>
      </w:pPr>
      <w:r>
        <w:rPr>
          <w:rStyle w:val="Strong"/>
          <w:rFonts w:eastAsia="Arial" w:cs="Arial" w:ascii="Arial" w:hAnsi="Arial"/>
          <w:b w:val="false"/>
          <w:bCs w:val="false"/>
          <w:color w:val="1F2937"/>
          <w:kern w:val="2"/>
          <w:sz w:val="22"/>
          <w:szCs w:val="22"/>
          <w:lang w:val="es-AR" w:eastAsia="zh-CN" w:bidi="hi-IN"/>
        </w:rPr>
        <w:t xml:space="preserve">Seniority: es la variable con la señal más clara y consistente. La mediana salarial aumenta progresivamente de Junior a Semi-Senior y Senior, con escasa superposición entre niveles. </w:t>
      </w:r>
    </w:p>
    <w:p>
      <w:pPr>
        <w:pStyle w:val="BodyText"/>
        <w:widowControl/>
        <w:numPr>
          <w:ilvl w:val="0"/>
          <w:numId w:val="1"/>
        </w:numPr>
        <w:tabs>
          <w:tab w:val="clear" w:pos="709"/>
          <w:tab w:val="left" w:pos="0" w:leader="none"/>
        </w:tabs>
        <w:suppressAutoHyphens w:val="true"/>
        <w:bidi w:val="0"/>
        <w:spacing w:before="60" w:after="80"/>
        <w:ind w:hanging="283" w:start="709"/>
        <w:jc w:val="start"/>
        <w:rPr/>
      </w:pPr>
      <w:r>
        <w:rPr>
          <w:rStyle w:val="Strong"/>
          <w:rFonts w:eastAsia="Arial" w:cs="Arial" w:ascii="Arial" w:hAnsi="Arial"/>
          <w:b w:val="false"/>
          <w:bCs w:val="false"/>
          <w:color w:val="1F2937"/>
          <w:kern w:val="2"/>
          <w:sz w:val="22"/>
          <w:szCs w:val="22"/>
          <w:lang w:val="es-AR" w:eastAsia="zh-CN" w:bidi="hi-IN"/>
        </w:rPr>
        <w:t xml:space="preserve">Dolarización del sueldo: los encuestados con sueldo dolarizado presentan medianas salariales notablemente superiores, independientemente de su nivel de experiencia. </w:t>
      </w:r>
    </w:p>
    <w:p>
      <w:pPr>
        <w:pStyle w:val="BodyText"/>
        <w:widowControl/>
        <w:numPr>
          <w:ilvl w:val="0"/>
          <w:numId w:val="1"/>
        </w:numPr>
        <w:tabs>
          <w:tab w:val="clear" w:pos="709"/>
          <w:tab w:val="left" w:pos="0" w:leader="none"/>
        </w:tabs>
        <w:suppressAutoHyphens w:val="true"/>
        <w:bidi w:val="0"/>
        <w:spacing w:before="60" w:after="80"/>
        <w:ind w:hanging="283" w:start="709"/>
        <w:jc w:val="start"/>
        <w:rPr/>
      </w:pPr>
      <w:r>
        <w:rPr>
          <w:rStyle w:val="Strong"/>
          <w:rFonts w:eastAsia="Arial" w:cs="Arial" w:ascii="Arial" w:hAnsi="Arial"/>
          <w:b w:val="false"/>
          <w:bCs w:val="false"/>
          <w:color w:val="1F2937"/>
          <w:kern w:val="2"/>
          <w:sz w:val="22"/>
          <w:szCs w:val="22"/>
          <w:lang w:val="es-AR" w:eastAsia="zh-CN" w:bidi="hi-IN"/>
        </w:rPr>
        <w:t xml:space="preserve">Grupo de rol: Data Science / AI presenta la mediana más alta entre los grupos analizados, aunque la dispersión dentro de cada grupo es considerable. </w:t>
      </w:r>
    </w:p>
    <w:p>
      <w:pPr>
        <w:pStyle w:val="BodyText"/>
        <w:widowControl/>
        <w:numPr>
          <w:ilvl w:val="0"/>
          <w:numId w:val="1"/>
        </w:numPr>
        <w:tabs>
          <w:tab w:val="clear" w:pos="709"/>
          <w:tab w:val="left" w:pos="0" w:leader="none"/>
        </w:tabs>
        <w:suppressAutoHyphens w:val="true"/>
        <w:bidi w:val="0"/>
        <w:spacing w:before="60" w:after="80"/>
        <w:ind w:hanging="283" w:start="709"/>
        <w:jc w:val="start"/>
        <w:rPr/>
      </w:pPr>
      <w:r>
        <w:rPr>
          <w:rStyle w:val="Strong"/>
          <w:rFonts w:eastAsia="Arial" w:cs="Arial" w:ascii="Arial" w:hAnsi="Arial"/>
          <w:b w:val="false"/>
          <w:bCs w:val="false"/>
          <w:color w:val="1F2937"/>
          <w:kern w:val="2"/>
          <w:sz w:val="22"/>
          <w:szCs w:val="22"/>
          <w:lang w:val="es-AR" w:eastAsia="zh-CN" w:bidi="hi-IN"/>
        </w:rPr>
        <w:t>Experiencia: muestra una relación positiva con el salario, aunque con alta dispersión que indica que no opera de forma aislada.</w:t>
      </w:r>
    </w:p>
    <w:p>
      <w:pPr>
        <w:pStyle w:val="BodyText"/>
        <w:widowControl/>
        <w:numPr>
          <w:ilvl w:val="0"/>
          <w:numId w:val="0"/>
        </w:numPr>
        <w:suppressAutoHyphens w:val="true"/>
        <w:bidi w:val="0"/>
        <w:spacing w:before="60" w:after="80"/>
        <w:ind w:hanging="0" w:start="0"/>
        <w:jc w:val="start"/>
        <w:rPr>
          <w:rStyle w:val="Strong"/>
          <w:rFonts w:ascii="Arial" w:hAnsi="Arial" w:eastAsia="Arial" w:cs="Arial"/>
          <w:b w:val="false"/>
          <w:bCs w:val="false"/>
          <w:color w:val="1F2937"/>
          <w:kern w:val="2"/>
          <w:sz w:val="22"/>
          <w:szCs w:val="22"/>
          <w:lang w:val="es-AR" w:eastAsia="zh-CN" w:bidi="hi-IN"/>
        </w:rPr>
      </w:pPr>
      <w:r>
        <w:rPr/>
      </w:r>
    </w:p>
    <w:p>
      <w:pPr>
        <w:pStyle w:val="BodyText"/>
        <w:widowControl/>
        <w:suppressAutoHyphens w:val="true"/>
        <w:bidi w:val="0"/>
        <w:spacing w:before="60" w:after="80"/>
        <w:jc w:val="start"/>
        <w:rPr/>
      </w:pPr>
      <w:r>
        <w:rPr>
          <w:rStyle w:val="Strong"/>
          <w:rFonts w:eastAsia="Arial" w:cs="Arial" w:ascii="Arial" w:hAnsi="Arial"/>
          <w:b/>
          <w:bCs/>
          <w:color w:val="1F2937"/>
          <w:kern w:val="2"/>
          <w:sz w:val="22"/>
          <w:szCs w:val="22"/>
          <w:lang w:val="es-AR" w:eastAsia="zh-CN" w:bidi="hi-IN"/>
        </w:rPr>
        <w:t>Variables con menor poder explicativo</w:t>
      </w:r>
    </w:p>
    <w:p>
      <w:pPr>
        <w:pStyle w:val="BodyText"/>
        <w:widowControl/>
        <w:suppressAutoHyphens w:val="true"/>
        <w:bidi w:val="0"/>
        <w:spacing w:before="60" w:after="80"/>
        <w:jc w:val="start"/>
        <w:rPr>
          <w:rStyle w:val="Strong"/>
          <w:rFonts w:ascii="Arial" w:hAnsi="Arial" w:eastAsia="Arial" w:cs="Arial"/>
          <w:b/>
          <w:bCs/>
          <w:color w:val="1F2937"/>
          <w:kern w:val="2"/>
          <w:sz w:val="22"/>
          <w:szCs w:val="22"/>
          <w:lang w:val="es-AR" w:eastAsia="zh-CN" w:bidi="hi-IN"/>
        </w:rPr>
      </w:pPr>
      <w:r>
        <w:rPr/>
      </w:r>
    </w:p>
    <w:p>
      <w:pPr>
        <w:pStyle w:val="BodyText"/>
        <w:widowControl/>
        <w:numPr>
          <w:ilvl w:val="0"/>
          <w:numId w:val="2"/>
        </w:numPr>
        <w:tabs>
          <w:tab w:val="clear" w:pos="709"/>
          <w:tab w:val="left" w:pos="0" w:leader="none"/>
        </w:tabs>
        <w:suppressAutoHyphens w:val="true"/>
        <w:bidi w:val="0"/>
        <w:spacing w:before="60" w:after="80"/>
        <w:ind w:hanging="283" w:start="709"/>
        <w:jc w:val="start"/>
        <w:rPr/>
      </w:pPr>
      <w:r>
        <w:rPr>
          <w:rStyle w:val="Strong"/>
          <w:rFonts w:eastAsia="Arial" w:cs="Arial" w:ascii="Arial" w:hAnsi="Arial"/>
          <w:b w:val="false"/>
          <w:bCs w:val="false"/>
          <w:color w:val="1F2937"/>
          <w:kern w:val="2"/>
          <w:sz w:val="22"/>
          <w:szCs w:val="22"/>
          <w:lang w:val="es-AR" w:eastAsia="zh-CN" w:bidi="hi-IN"/>
        </w:rPr>
        <w:t xml:space="preserve">Modalidad de trabajo: no se observaron diferencias salariales claras entre trabajo remoto, híbrido y presencial. </w:t>
      </w:r>
    </w:p>
    <w:p>
      <w:pPr>
        <w:pStyle w:val="BodyText"/>
        <w:widowControl/>
        <w:numPr>
          <w:ilvl w:val="0"/>
          <w:numId w:val="2"/>
        </w:numPr>
        <w:tabs>
          <w:tab w:val="clear" w:pos="709"/>
          <w:tab w:val="left" w:pos="0" w:leader="none"/>
        </w:tabs>
        <w:suppressAutoHyphens w:val="true"/>
        <w:bidi w:val="0"/>
        <w:spacing w:before="60" w:after="80"/>
        <w:ind w:hanging="283" w:start="709"/>
        <w:jc w:val="start"/>
        <w:rPr/>
      </w:pPr>
      <w:r>
        <w:rPr>
          <w:rStyle w:val="Strong"/>
          <w:rFonts w:eastAsia="Arial" w:cs="Arial" w:ascii="Arial" w:hAnsi="Arial"/>
          <w:b w:val="false"/>
          <w:bCs w:val="false"/>
          <w:color w:val="1F2937"/>
          <w:kern w:val="2"/>
          <w:sz w:val="22"/>
          <w:szCs w:val="22"/>
          <w:lang w:val="es-AR" w:eastAsia="zh-CN" w:bidi="hi-IN"/>
        </w:rPr>
        <w:t xml:space="preserve">Tamaño de la organización: las medianas salariales son similares entre empresas de distintos tamaños, sin una tendencia definida. </w:t>
      </w:r>
    </w:p>
    <w:p>
      <w:pPr>
        <w:pStyle w:val="BodyText"/>
        <w:widowControl/>
        <w:numPr>
          <w:ilvl w:val="0"/>
          <w:numId w:val="2"/>
        </w:numPr>
        <w:tabs>
          <w:tab w:val="clear" w:pos="709"/>
          <w:tab w:val="left" w:pos="0" w:leader="none"/>
        </w:tabs>
        <w:suppressAutoHyphens w:val="true"/>
        <w:bidi w:val="0"/>
        <w:spacing w:before="60" w:after="80"/>
        <w:ind w:hanging="283" w:start="709"/>
        <w:jc w:val="start"/>
        <w:rPr/>
      </w:pPr>
      <w:r>
        <w:rPr>
          <w:rStyle w:val="Strong"/>
          <w:rFonts w:eastAsia="Arial" w:cs="Arial" w:ascii="Arial" w:hAnsi="Arial"/>
          <w:b w:val="false"/>
          <w:bCs w:val="false"/>
          <w:color w:val="1F2937"/>
          <w:kern w:val="2"/>
          <w:sz w:val="22"/>
          <w:szCs w:val="22"/>
          <w:lang w:val="es-AR" w:eastAsia="zh-CN" w:bidi="hi-IN"/>
        </w:rPr>
        <w:t xml:space="preserve">Región: las diferencias entre CABA, GBA e Interior son menores de lo esperado, sugiriendo que el mercado IT argentino opera de forma relativamente homogénea en términos geográficos. </w:t>
      </w:r>
    </w:p>
    <w:p>
      <w:pPr>
        <w:pStyle w:val="BodyText"/>
        <w:widowControl/>
        <w:suppressAutoHyphens w:val="true"/>
        <w:bidi w:val="0"/>
        <w:spacing w:before="60" w:after="80"/>
        <w:jc w:val="start"/>
        <w:rPr/>
      </w:pPr>
      <w:r>
        <w:rPr>
          <w:rStyle w:val="Strong"/>
          <w:rFonts w:eastAsia="Arial" w:cs="Arial" w:ascii="Arial" w:hAnsi="Arial"/>
          <w:b/>
          <w:bCs/>
          <w:color w:val="1F2937"/>
          <w:kern w:val="2"/>
          <w:sz w:val="22"/>
          <w:szCs w:val="22"/>
          <w:lang w:val="es-AR" w:eastAsia="zh-CN" w:bidi="hi-IN"/>
        </w:rPr>
        <w:t>Variable confundidora identificada</w:t>
      </w:r>
    </w:p>
    <w:p>
      <w:pPr>
        <w:pStyle w:val="BodyText"/>
        <w:widowControl/>
        <w:suppressAutoHyphens w:val="true"/>
        <w:bidi w:val="0"/>
        <w:spacing w:before="60" w:after="80"/>
        <w:jc w:val="start"/>
        <w:rPr/>
      </w:pPr>
      <w:r>
        <w:rPr>
          <w:rStyle w:val="Strong"/>
          <w:rFonts w:eastAsia="Arial" w:cs="Arial" w:ascii="Arial" w:hAnsi="Arial"/>
          <w:b w:val="false"/>
          <w:bCs w:val="false"/>
          <w:color w:val="1F2937"/>
          <w:kern w:val="2"/>
          <w:sz w:val="22"/>
          <w:szCs w:val="22"/>
          <w:lang w:val="es-AR" w:eastAsia="zh-CN" w:bidi="hi-IN"/>
        </w:rPr>
        <w:t>El análisis de género reveló la presencia de seniority como variable confundidora. Sin controlar por seniority, las mujeres presentan una mediana levemente superior a los hombres. Al incorporar el seniority como control, las diferencias entre géneros se reducen notablemente. La brecha observada se explica por la distinta composición de seniority entre géneros: los hombres tienen una proporción de Senior (~50%) significativamente mayor que las mujeres (~30%).</w:t>
      </w:r>
    </w:p>
    <w:p>
      <w:pPr>
        <w:pStyle w:val="BodyText"/>
        <w:widowControl/>
        <w:suppressAutoHyphens w:val="true"/>
        <w:bidi w:val="0"/>
        <w:spacing w:before="60" w:after="80"/>
        <w:jc w:val="start"/>
        <w:rPr>
          <w:rStyle w:val="Strong"/>
          <w:rFonts w:ascii="Arial" w:hAnsi="Arial" w:eastAsia="Arial" w:cs="Arial"/>
          <w:b w:val="false"/>
          <w:bCs w:val="false"/>
          <w:color w:val="1F2937"/>
          <w:kern w:val="2"/>
          <w:sz w:val="22"/>
          <w:szCs w:val="22"/>
          <w:lang w:val="es-AR" w:eastAsia="zh-CN" w:bidi="hi-IN"/>
        </w:rPr>
      </w:pPr>
      <w:r>
        <w:rPr/>
      </w:r>
    </w:p>
    <w:p>
      <w:pPr>
        <w:pStyle w:val="BodyText"/>
        <w:widowControl/>
        <w:suppressAutoHyphens w:val="true"/>
        <w:bidi w:val="0"/>
        <w:spacing w:before="60" w:after="80"/>
        <w:jc w:val="start"/>
        <w:rPr/>
      </w:pPr>
      <w:r>
        <w:rPr>
          <w:rStyle w:val="Strong"/>
          <w:rFonts w:eastAsia="Arial" w:cs="Arial" w:ascii="Arial" w:hAnsi="Arial"/>
          <w:b/>
          <w:bCs/>
          <w:color w:val="1F2937"/>
          <w:kern w:val="2"/>
          <w:sz w:val="22"/>
          <w:szCs w:val="22"/>
          <w:lang w:val="es-AR" w:eastAsia="zh-CN" w:bidi="hi-IN"/>
        </w:rPr>
        <w:t>Consideraciones para el modelado</w:t>
      </w:r>
    </w:p>
    <w:p>
      <w:pPr>
        <w:pStyle w:val="BodyText"/>
        <w:widowControl/>
        <w:suppressAutoHyphens w:val="true"/>
        <w:bidi w:val="0"/>
        <w:spacing w:before="60" w:after="80"/>
        <w:jc w:val="start"/>
        <w:rPr/>
      </w:pPr>
      <w:r>
        <w:rPr>
          <w:rStyle w:val="Strong"/>
          <w:rFonts w:eastAsia="Arial" w:cs="Arial" w:ascii="Arial" w:hAnsi="Arial"/>
          <w:b w:val="false"/>
          <w:bCs w:val="false"/>
          <w:color w:val="1F2937"/>
          <w:kern w:val="2"/>
          <w:sz w:val="22"/>
          <w:szCs w:val="22"/>
          <w:lang w:val="es-AR" w:eastAsia="zh-CN" w:bidi="hi-IN"/>
        </w:rPr>
        <w:t>El EDA derivó en dos estrategias de modelado complementarias. Un modelo amplio que utiliza la totalidad de las observaciones (2019-2026, n=15.304) con variables disponibles en todos los períodos: experiencia, grupo de rol, género, región y personas a cargo. Y un modelo enriquecido restringido a los períodos 2024-2026 (n=5.091) que incorpora adicionalmente seniority y dolarización del sueldo, las variables de mayor poder explicativo identificadas en el EDA. La comparación entre ambos modelos mediante ANOVA permitirá cuantificar el aporte explicativo de las variables más recientes.</w:t>
      </w:r>
    </w:p>
    <w:p>
      <w:pPr>
        <w:pStyle w:val="BodyText"/>
        <w:widowControl/>
        <w:suppressAutoHyphens w:val="true"/>
        <w:bidi w:val="0"/>
        <w:spacing w:before="60" w:after="80"/>
        <w:jc w:val="start"/>
        <w:rPr>
          <w:rStyle w:val="Strong"/>
          <w:rFonts w:ascii="Arial" w:hAnsi="Arial" w:eastAsia="Arial" w:cs="Arial"/>
          <w:b w:val="false"/>
          <w:bCs w:val="false"/>
          <w:color w:val="1F2937"/>
          <w:kern w:val="2"/>
          <w:sz w:val="22"/>
          <w:szCs w:val="22"/>
          <w:lang w:val="es-AR" w:eastAsia="zh-CN" w:bidi="hi-IN"/>
        </w:rPr>
      </w:pPr>
      <w:r>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swiss"/>
    <w:pitch w:val="variable"/>
  </w:font>
  <w:font w:name="OpenSymbol">
    <w:altName w:val="Arial Unicode MS"/>
    <w:charset w:val="01" w:characterSet="utf-8"/>
    <w:family w:val="roman"/>
    <w:pitch w:val="variable"/>
  </w:font>
  <w:font w:name="Liberation Mono">
    <w:altName w:val="Courier New"/>
    <w:charset w:val="01" w:characterSet="utf-8"/>
    <w:family w:val="roman"/>
    <w:pitch w:val="variable"/>
  </w:font>
  <w:font w:name="OpenSymbol">
    <w:altName w:val="Arial Unicode MS"/>
    <w:charset w:val="02"/>
    <w:family w:val="auto"/>
    <w:pitch w:val="default"/>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kern w:val="2"/>
        <w:sz w:val="24"/>
        <w:szCs w:val="24"/>
        <w:lang w:val="es-AR"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Songti SC" w:cs="Arial Unicode MS"/>
      <w:color w:val="auto"/>
      <w:kern w:val="2"/>
      <w:sz w:val="24"/>
      <w:szCs w:val="24"/>
      <w:lang w:val="es-AR" w:eastAsia="zh-CN" w:bidi="hi-IN"/>
    </w:rPr>
  </w:style>
  <w:style w:type="paragraph" w:styleId="Heading1">
    <w:name w:val="heading 1"/>
    <w:basedOn w:val="Heading"/>
    <w:qFormat/>
    <w:pPr>
      <w:spacing w:before="360" w:after="120"/>
      <w:outlineLvl w:val="0"/>
    </w:pPr>
    <w:rPr>
      <w:rFonts w:ascii="Arial" w:hAnsi="Arial" w:eastAsia="Arial" w:cs="Arial"/>
      <w:b/>
      <w:bCs/>
      <w:color w:val="2563EB"/>
      <w:sz w:val="32"/>
      <w:szCs w:val="32"/>
    </w:rPr>
  </w:style>
  <w:style w:type="paragraph" w:styleId="Heading2">
    <w:name w:val="heading 2"/>
    <w:basedOn w:val="Heading"/>
    <w:next w:val="BodyText"/>
    <w:qFormat/>
    <w:pPr>
      <w:spacing w:before="200" w:after="120"/>
      <w:outlineLvl w:val="1"/>
    </w:pPr>
    <w:rPr>
      <w:rFonts w:ascii="Liberation Serif" w:hAnsi="Liberation Serif" w:eastAsia="Songti SC" w:cs="Arial Unicode MS"/>
      <w:b/>
      <w:bCs/>
      <w:sz w:val="36"/>
      <w:szCs w:val="36"/>
    </w:rPr>
  </w:style>
  <w:style w:type="paragraph" w:styleId="Heading3">
    <w:name w:val="heading 3"/>
    <w:basedOn w:val="Heading"/>
    <w:next w:val="BodyText"/>
    <w:qFormat/>
    <w:pPr>
      <w:spacing w:before="140" w:after="120"/>
      <w:outlineLvl w:val="2"/>
    </w:pPr>
    <w:rPr>
      <w:rFonts w:ascii="Liberation Serif" w:hAnsi="Liberation Serif" w:eastAsia="Songti SC" w:cs="Arial Unicode MS"/>
      <w:b/>
      <w:bCs/>
      <w:sz w:val="28"/>
      <w:szCs w:val="28"/>
    </w:rPr>
  </w:style>
  <w:style w:type="character" w:styleId="Strong">
    <w:name w:val="Strong"/>
    <w:qFormat/>
    <w:rPr>
      <w:b/>
      <w:bCs/>
    </w:rPr>
  </w:style>
  <w:style w:type="character" w:styleId="Bulletsuser">
    <w:name w:val="Bullets (user)"/>
    <w:qFormat/>
    <w:rPr>
      <w:rFonts w:ascii="OpenSymbol" w:hAnsi="OpenSymbol" w:eastAsia="OpenSymbol" w:cs="OpenSymbol"/>
    </w:rPr>
  </w:style>
  <w:style w:type="character" w:styleId="Emphasis">
    <w:name w:val="Emphasis"/>
    <w:qFormat/>
    <w:rPr>
      <w:i/>
      <w:iCs/>
    </w:rPr>
  </w:style>
  <w:style w:type="character" w:styleId="SourceText">
    <w:name w:val="Source Text"/>
    <w:qFormat/>
    <w:rPr>
      <w:rFonts w:ascii="Liberation Mono" w:hAnsi="Liberation Mono" w:eastAsia="Liberation Mono" w:cs="Liberation Mono"/>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90</TotalTime>
  <Application>LibreOffice/26.2.0.3$MacOSX_AARCH64 LibreOffice_project/afbbd0df0edb6d40b450b0337ac646b0913a760c</Application>
  <AppVersion>15.0000</AppVersion>
  <Pages>6</Pages>
  <Words>2479</Words>
  <Characters>13977</Characters>
  <CharactersWithSpaces>16379</CharactersWithSpaces>
  <Paragraphs>81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2026-05-29T23:49:24Z</dcterms:created>
  <dc:creator/>
  <dc:description/>
  <dc:language>es-AR</dc:language>
  <cp:lastModifiedBy/>
  <dcterms:modified xsi:type="dcterms:W3CDTF">2026-05-30T03:27:19Z</dcterms:modified>
  <cp:revision>24</cp:revision>
  <dc:subject/>
  <dc:title/>
</cp:coreProperties>
</file>

<file path=docProps/custom.xml><?xml version="1.0" encoding="utf-8"?>
<Properties xmlns="http://schemas.openxmlformats.org/officeDocument/2006/custom-properties" xmlns:vt="http://schemas.openxmlformats.org/officeDocument/2006/docPropsVTypes"/>
</file>