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480" w:after="80"/>
        <w:jc w:val="center"/>
        <w:rPr/>
      </w:pPr>
      <w:r>
        <w:rPr>
          <w:rFonts w:eastAsia="Arial" w:cs="Arial" w:ascii="Arial" w:hAnsi="Arial"/>
          <w:b/>
          <w:bCs/>
          <w:color w:val="2563EB"/>
          <w:sz w:val="52"/>
          <w:szCs w:val="52"/>
        </w:rPr>
        <w:t>A</w:t>
      </w:r>
      <w:r>
        <w:rPr>
          <w:rFonts w:eastAsia="Arial" w:cs="Arial" w:ascii="Arial" w:hAnsi="Arial"/>
          <w:b/>
          <w:bCs/>
          <w:color w:val="2563EB"/>
          <w:sz w:val="52"/>
          <w:szCs w:val="52"/>
        </w:rPr>
        <w:t>n</w:t>
      </w:r>
      <w:r>
        <w:rPr>
          <w:rFonts w:eastAsia="Arial" w:cs="Arial" w:ascii="Arial" w:hAnsi="Arial"/>
          <w:b/>
          <w:bCs/>
          <w:color w:val="2563EB"/>
          <w:sz w:val="52"/>
          <w:szCs w:val="52"/>
        </w:rPr>
        <w:t>alisis Exploratorio de Datos</w:t>
      </w:r>
    </w:p>
    <w:p>
      <w:pPr>
        <w:pStyle w:val="Normal"/>
        <w:bidi w:val="0"/>
        <w:spacing w:lineRule="exact" w:line="283" w:before="480" w:after="80"/>
        <w:jc w:val="center"/>
        <w:rPr>
          <w:rFonts w:ascii="Arial" w:hAnsi="Arial" w:eastAsia="Arial" w:cs="Arial"/>
          <w:b w:val="false"/>
          <w:bCs w:val="false"/>
          <w:color w:val="2563EB"/>
          <w:sz w:val="26"/>
          <w:szCs w:val="26"/>
        </w:rPr>
      </w:pPr>
      <w:r>
        <w:rPr>
          <w:rFonts w:eastAsia="Arial" w:cs="Arial" w:ascii="Arial" w:hAnsi="Arial"/>
          <w:b w:val="false"/>
          <w:bCs w:val="false"/>
          <w:color w:val="2563EB"/>
          <w:sz w:val="26"/>
          <w:szCs w:val="26"/>
        </w:rPr>
        <w:t>Encuesta Sysarmy de Remuneraciones IT Argentina 2019-2026</w:t>
      </w:r>
    </w:p>
    <w:p>
      <w:pPr>
        <w:pStyle w:val="Normal"/>
        <w:bidi w:val="0"/>
        <w:spacing w:before="0" w:after="40"/>
        <w:jc w:val="center"/>
        <w:rPr>
          <w:rFonts w:ascii="Arial" w:hAnsi="Arial" w:eastAsia="Arial" w:cs="Arial"/>
          <w:color w:val="6B7280"/>
          <w:sz w:val="32"/>
          <w:szCs w:val="32"/>
        </w:rPr>
      </w:pPr>
      <w:r>
        <w:rPr/>
      </w:r>
    </w:p>
    <w:p>
      <w:pPr>
        <w:pStyle w:val="Normal"/>
        <w:bidi w:val="0"/>
        <w:spacing w:before="40" w:after="480"/>
        <w:jc w:val="center"/>
        <w:rPr>
          <w:rFonts w:ascii="Arial" w:hAnsi="Arial" w:eastAsia="Arial" w:cs="Arial"/>
          <w:i/>
          <w:iCs/>
          <w:color w:val="6B7280"/>
          <w:sz w:val="22"/>
          <w:szCs w:val="22"/>
        </w:rPr>
      </w:pPr>
      <w:r>
        <w:rPr/>
      </w:r>
    </w:p>
    <w:p>
      <w:pPr>
        <w:pStyle w:val="Heading1"/>
        <w:pBdr>
          <w:bottom w:val="single" w:sz="4" w:space="6" w:color="2563EB"/>
        </w:pBdr>
        <w:bidi w:val="0"/>
        <w:spacing w:before="360" w:after="120"/>
        <w:jc w:val="start"/>
        <w:rPr/>
      </w:pPr>
      <w:r>
        <w:rPr>
          <w:rFonts w:eastAsia="Arial" w:cs="Arial" w:ascii="Arial" w:hAnsi="Arial"/>
          <w:b/>
          <w:bCs/>
          <w:color w:val="2563EB"/>
          <w:sz w:val="32"/>
          <w:szCs w:val="32"/>
        </w:rPr>
        <w:t xml:space="preserve">1. </w:t>
      </w:r>
      <w:r>
        <w:rPr>
          <w:rFonts w:eastAsia="Arial" w:cs="Arial" w:ascii="Arial" w:hAnsi="Arial"/>
          <w:b/>
          <w:bCs/>
          <w:color w:val="2563EB"/>
          <w:sz w:val="32"/>
          <w:szCs w:val="32"/>
        </w:rPr>
        <w:t>C</w:t>
      </w:r>
      <w:r>
        <w:rPr>
          <w:rFonts w:eastAsia="Arial" w:cs="Arial" w:ascii="Arial" w:hAnsi="Arial"/>
          <w:b/>
          <w:bCs/>
          <w:color w:val="2563EB"/>
          <w:sz w:val="32"/>
          <w:szCs w:val="32"/>
        </w:rPr>
        <w:t>a</w:t>
      </w:r>
      <w:r>
        <w:rPr>
          <w:rFonts w:eastAsia="Arial" w:cs="Arial" w:ascii="Arial" w:hAnsi="Arial"/>
          <w:b/>
          <w:bCs/>
          <w:color w:val="2563EB"/>
          <w:sz w:val="32"/>
          <w:szCs w:val="32"/>
        </w:rPr>
        <w:t>l</w:t>
      </w:r>
      <w:r>
        <w:rPr>
          <w:rFonts w:eastAsia="Arial" w:cs="Arial" w:ascii="Arial" w:hAnsi="Arial"/>
          <w:b/>
          <w:bCs/>
          <w:color w:val="2563EB"/>
          <w:sz w:val="32"/>
          <w:szCs w:val="32"/>
        </w:rPr>
        <w:t>idad de los datos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calidad general de los datos es buena. Las variables principales utilizadas para el modelado, como salario, experiencia, antigüedad, rol, género y región, no presentan valores faltantes.</w:t>
      </w:r>
    </w:p>
    <w:p>
      <w:pPr>
        <w:pStyle w:val="Normal"/>
        <w:bidi w:val="0"/>
        <w:spacing w:before="60" w:after="80"/>
        <w:jc w:val="start"/>
        <w:rPr/>
      </w:pPr>
      <w:r>
        <w:rPr>
          <w:rFonts w:eastAsia="Arial" w:cs="Arial" w:ascii="Arial" w:hAnsi="Arial"/>
          <w:color w:val="1F2937"/>
          <w:sz w:val="22"/>
          <w:szCs w:val="22"/>
        </w:rPr>
        <w:t xml:space="preserve">Se detectan faltantes importantes en las variables </w:t>
      </w:r>
      <w:r>
        <w:rPr>
          <w:rStyle w:val="Strong"/>
          <w:rFonts w:eastAsia="Arial" w:cs="Arial" w:ascii="Arial" w:hAnsi="Arial"/>
          <w:color w:val="1F2937"/>
          <w:sz w:val="22"/>
          <w:szCs w:val="22"/>
        </w:rPr>
        <w:t>seniority</w:t>
      </w:r>
      <w:r>
        <w:rPr>
          <w:rFonts w:eastAsia="Arial" w:cs="Arial" w:ascii="Arial" w:hAnsi="Arial"/>
          <w:color w:val="1F2937"/>
          <w:sz w:val="22"/>
          <w:szCs w:val="22"/>
        </w:rPr>
        <w:t xml:space="preserve">, </w:t>
      </w:r>
      <w:r>
        <w:rPr>
          <w:rStyle w:val="Strong"/>
          <w:rFonts w:eastAsia="Arial" w:cs="Arial" w:ascii="Arial" w:hAnsi="Arial"/>
          <w:color w:val="1F2937"/>
          <w:sz w:val="22"/>
          <w:szCs w:val="22"/>
        </w:rPr>
        <w:t>sueldo_dolarizado</w:t>
      </w:r>
      <w:r>
        <w:rPr>
          <w:rFonts w:eastAsia="Arial" w:cs="Arial" w:ascii="Arial" w:hAnsi="Arial"/>
          <w:color w:val="1F2937"/>
          <w:sz w:val="22"/>
          <w:szCs w:val="22"/>
        </w:rPr>
        <w:t xml:space="preserve"> y </w:t>
      </w:r>
      <w:r>
        <w:rPr>
          <w:rStyle w:val="Strong"/>
          <w:rFonts w:eastAsia="Arial" w:cs="Arial" w:ascii="Arial" w:hAnsi="Arial"/>
          <w:color w:val="1F2937"/>
          <w:sz w:val="22"/>
          <w:szCs w:val="22"/>
        </w:rPr>
        <w:t>uso_ia</w:t>
      </w:r>
      <w:r>
        <w:rPr>
          <w:rFonts w:eastAsia="Arial" w:cs="Arial" w:ascii="Arial" w:hAnsi="Arial"/>
          <w:color w:val="1F2937"/>
          <w:sz w:val="22"/>
          <w:szCs w:val="22"/>
        </w:rPr>
        <w:t xml:space="preserve">, con aproximadamente un 66,7% de valores faltantes. Inicialmente, esto podría sugerir problemas de calidad de datos; sin embargo, un análisis más detallado permitió identificar que dichos faltantes </w:t>
      </w:r>
      <w:r>
        <w:rPr>
          <w:rFonts w:eastAsia="Arial" w:cs="Arial" w:ascii="Arial" w:hAnsi="Arial"/>
          <w:color w:val="1F2937"/>
          <w:sz w:val="22"/>
          <w:szCs w:val="22"/>
        </w:rPr>
        <w:t>no son aleatorios.</w:t>
      </w:r>
    </w:p>
    <w:p>
      <w:pPr>
        <w:pStyle w:val="Normal"/>
        <w:bidi w:val="0"/>
        <w:spacing w:before="60" w:after="80"/>
        <w:jc w:val="start"/>
        <w:rPr/>
      </w:pPr>
      <w:r>
        <w:rPr>
          <w:rFonts w:eastAsia="Arial" w:cs="Arial" w:ascii="Arial" w:hAnsi="Arial"/>
          <w:color w:val="1F2937"/>
          <w:sz w:val="22"/>
          <w:szCs w:val="22"/>
        </w:rPr>
        <w:t xml:space="preserve">Al analizar la distribución de los valores faltantes por año y semestre, se observó que estos se encuentran asociados al período de relevamiento de la encuesta. Las variables </w:t>
      </w:r>
      <w:r>
        <w:rPr>
          <w:rStyle w:val="Strong"/>
          <w:rFonts w:eastAsia="Arial" w:cs="Arial" w:ascii="Arial" w:hAnsi="Arial"/>
          <w:color w:val="1F2937"/>
          <w:sz w:val="22"/>
          <w:szCs w:val="22"/>
        </w:rPr>
        <w:t>seniority</w:t>
      </w:r>
      <w:r>
        <w:rPr>
          <w:rFonts w:eastAsia="Arial" w:cs="Arial" w:ascii="Arial" w:hAnsi="Arial"/>
          <w:color w:val="1F2937"/>
          <w:sz w:val="22"/>
          <w:szCs w:val="22"/>
        </w:rPr>
        <w:t xml:space="preserve">, </w:t>
      </w:r>
      <w:r>
        <w:rPr>
          <w:rStyle w:val="Strong"/>
          <w:rFonts w:eastAsia="Arial" w:cs="Arial" w:ascii="Arial" w:hAnsi="Arial"/>
          <w:color w:val="1F2937"/>
          <w:sz w:val="22"/>
          <w:szCs w:val="22"/>
        </w:rPr>
        <w:t>sueldo_dolarizado</w:t>
      </w:r>
      <w:r>
        <w:rPr>
          <w:rFonts w:eastAsia="Arial" w:cs="Arial" w:ascii="Arial" w:hAnsi="Arial"/>
          <w:color w:val="1F2937"/>
          <w:sz w:val="22"/>
          <w:szCs w:val="22"/>
        </w:rPr>
        <w:t xml:space="preserve"> y </w:t>
      </w:r>
      <w:r>
        <w:rPr>
          <w:rStyle w:val="Strong"/>
          <w:rFonts w:eastAsia="Arial" w:cs="Arial" w:ascii="Arial" w:hAnsi="Arial"/>
          <w:color w:val="1F2937"/>
          <w:sz w:val="22"/>
          <w:szCs w:val="22"/>
        </w:rPr>
        <w:t>modalidad</w:t>
      </w:r>
      <w:r>
        <w:rPr>
          <w:rFonts w:eastAsia="Arial" w:cs="Arial" w:ascii="Arial" w:hAnsi="Arial"/>
          <w:color w:val="1F2937"/>
          <w:sz w:val="22"/>
          <w:szCs w:val="22"/>
        </w:rPr>
        <w:t xml:space="preserve"> no fueron relevadas en las encuestas comprendidas entre 2019 y 2023, mientras que comienzan a estar disponibles a partir de la edición </w:t>
      </w:r>
      <w:r>
        <w:rPr>
          <w:rStyle w:val="Strong"/>
          <w:rFonts w:eastAsia="Arial" w:cs="Arial" w:ascii="Arial" w:hAnsi="Arial"/>
          <w:color w:val="1F2937"/>
          <w:sz w:val="22"/>
          <w:szCs w:val="22"/>
        </w:rPr>
        <w:t>2024.1</w:t>
      </w:r>
      <w:r>
        <w:rPr>
          <w:rFonts w:eastAsia="Arial" w:cs="Arial" w:ascii="Arial" w:hAnsi="Arial"/>
          <w:color w:val="1F2937"/>
          <w:sz w:val="22"/>
          <w:szCs w:val="22"/>
        </w:rPr>
        <w:t xml:space="preserve">. Por otro lado, la variable </w:t>
      </w:r>
      <w:r>
        <w:rPr>
          <w:rStyle w:val="Strong"/>
          <w:rFonts w:eastAsia="Arial" w:cs="Arial" w:ascii="Arial" w:hAnsi="Arial"/>
          <w:color w:val="1F2937"/>
          <w:sz w:val="22"/>
          <w:szCs w:val="22"/>
        </w:rPr>
        <w:t>uso_ia</w:t>
      </w:r>
      <w:r>
        <w:rPr>
          <w:rFonts w:eastAsia="Arial" w:cs="Arial" w:ascii="Arial" w:hAnsi="Arial"/>
          <w:color w:val="1F2937"/>
          <w:sz w:val="22"/>
          <w:szCs w:val="22"/>
        </w:rPr>
        <w:t xml:space="preserve"> aparece recién a partir de la edición </w:t>
      </w:r>
      <w:r>
        <w:rPr>
          <w:rStyle w:val="Strong"/>
          <w:rFonts w:eastAsia="Arial" w:cs="Arial" w:ascii="Arial" w:hAnsi="Arial"/>
          <w:color w:val="1F2937"/>
          <w:sz w:val="22"/>
          <w:szCs w:val="22"/>
        </w:rPr>
        <w:t>2022.2</w:t>
      </w:r>
      <w:r>
        <w:rPr>
          <w:rFonts w:eastAsia="Arial" w:cs="Arial" w:ascii="Arial" w:hAnsi="Arial"/>
          <w:color w:val="1F2937"/>
          <w:sz w:val="22"/>
          <w:szCs w:val="22"/>
        </w:rPr>
        <w:t>.</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Por lo tanto, los valores faltantes responden a cambios en el cuestionario de Sysarmy a lo largo del tiempo y no a errores de carga ni a omisiones de los encuestados.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rFonts w:ascii="Arial" w:hAnsi="Arial"/>
        </w:rPr>
        <w:t>2. Distribuciones Univariadas</w:t>
      </w:r>
    </w:p>
    <w:p>
      <w:pPr>
        <w:pStyle w:val="Normal"/>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dataset cuenta con 15.304 observaciones distribuidas en 14 períodos semestrales (2019.1 a 2026.1). El grupo de rol predominante es Data Platform / MLOps con el 50% de las observaciones, seguido por Data Science / AI con el 31%. La distribución de género muestra que el 82% de los encuestados se identifica como hombre, el 14% como mujer y el 4% como no binari</w:t>
      </w:r>
      <w:r>
        <w:rPr>
          <w:rFonts w:eastAsia="Arial" w:cs="Arial" w:ascii="Arial" w:hAnsi="Arial"/>
          <w:color w:val="1F2937"/>
          <w:sz w:val="22"/>
          <w:szCs w:val="22"/>
        </w:rPr>
        <w:t>o</w:t>
      </w:r>
      <w:r>
        <w:rPr>
          <w:rFonts w:eastAsia="Arial" w:cs="Arial" w:ascii="Arial" w:hAnsi="Arial"/>
          <w:color w:val="1F2937"/>
          <w:sz w:val="22"/>
          <w:szCs w:val="22"/>
        </w:rPr>
        <w:t>, reflejando la composición típica del sector IT en Argentina. El 80% de los encuestados no tiene personas a cargo.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mediana de experiencia es de 6 años y la edad mediana es de 34 años. El 75% de los encuestados tiene entre 0 y 13 años de experiencia, lo que indica una población relativamente joven en términos de trayectoria laboral.</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rFonts w:ascii="Arial" w:hAnsi="Arial"/>
        </w:rPr>
      </w:r>
    </w:p>
    <w:p>
      <w:pPr>
        <w:pStyle w:val="Heading1"/>
        <w:pBdr>
          <w:bottom w:val="single" w:sz="4" w:space="6" w:color="2563EB"/>
        </w:pBdr>
        <w:bidi w:val="0"/>
        <w:jc w:val="start"/>
        <w:rPr>
          <w:rFonts w:ascii="Arial" w:hAnsi="Arial"/>
        </w:rPr>
      </w:pPr>
      <w:r>
        <w:rPr>
          <w:rFonts w:ascii="Arial" w:hAnsi="Arial"/>
        </w:rPr>
        <w:t>3. Variable Objetivo: Salario</w:t>
      </w:r>
    </w:p>
    <w:p>
      <w:pPr>
        <w:pStyle w:val="Normal"/>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La variable objetivo del análisis es el salario </w:t>
      </w:r>
      <w:r>
        <w:rPr>
          <w:rFonts w:eastAsia="Arial" w:cs="Arial" w:ascii="Arial" w:hAnsi="Arial"/>
          <w:color w:val="1F2937"/>
          <w:sz w:val="22"/>
          <w:szCs w:val="22"/>
        </w:rPr>
        <w:t xml:space="preserve">bruto </w:t>
      </w:r>
      <w:r>
        <w:rPr>
          <w:rFonts w:eastAsia="Arial" w:cs="Arial" w:ascii="Arial" w:hAnsi="Arial"/>
          <w:color w:val="1F2937"/>
          <w:sz w:val="22"/>
          <w:szCs w:val="22"/>
        </w:rPr>
        <w:t>mensual en pesos argentinos, declarado por cada encuestado. Se trata de una variable continua que refleja la remuneración total antes de descuentos impositivos.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Distribución del salario bruto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histograma del salario bruto en escala original muestra una distribución fuertemente asimétrica hacia la derecha. La gran mayoría de las observaciones se concentra en valores bajos, mientras que una minoría presenta salarios muy elevados que generan una cola larga. Esta asimetría se confirma al comparar la media ($1.04</w:t>
      </w:r>
      <w:r>
        <w:rPr>
          <w:rFonts w:eastAsia="Arial" w:cs="Arial" w:ascii="Arial" w:hAnsi="Arial"/>
          <w:color w:val="1F2937"/>
          <w:sz w:val="22"/>
          <w:szCs w:val="22"/>
        </w:rPr>
        <w:t>8</w:t>
      </w:r>
      <w:r>
        <w:rPr>
          <w:rFonts w:eastAsia="Arial" w:cs="Arial" w:ascii="Arial" w:hAnsi="Arial"/>
          <w:color w:val="1F2937"/>
          <w:sz w:val="22"/>
          <w:szCs w:val="22"/>
        </w:rPr>
        <w:t>.</w:t>
      </w:r>
      <w:r>
        <w:rPr>
          <w:rFonts w:eastAsia="Arial" w:cs="Arial" w:ascii="Arial" w:hAnsi="Arial"/>
          <w:color w:val="1F2937"/>
          <w:sz w:val="22"/>
          <w:szCs w:val="22"/>
        </w:rPr>
        <w:t>318</w:t>
      </w:r>
      <w:r>
        <w:rPr>
          <w:rFonts w:eastAsia="Arial" w:cs="Arial" w:ascii="Arial" w:hAnsi="Arial"/>
          <w:color w:val="1F2937"/>
          <w:sz w:val="22"/>
          <w:szCs w:val="22"/>
        </w:rPr>
        <w:t>) con la mediana ($270.000): la media casi cuadruplica a la mediana, evidenciando el efecto distorsivo de los valores extremos superiores.</w:t>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Transformación logarítmica</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Con el objetivo de reducir la asimetría y acercar la distribución a la normalidad requerida por los modelos de regresión lineal, se aplicó una transformación logarítmica sobre el salario bruto, obteniendo la variable </w:t>
      </w:r>
      <w:r>
        <w:rPr>
          <w:rStyle w:val="SourceText"/>
          <w:rFonts w:ascii="Arial" w:hAnsi="Arial"/>
          <w:color w:val="1F2937"/>
          <w:sz w:val="22"/>
          <w:szCs w:val="22"/>
        </w:rPr>
        <w:t>log_sal</w:t>
      </w:r>
      <w:r>
        <w:rPr>
          <w:rFonts w:eastAsia="Arial" w:cs="Arial" w:ascii="Arial" w:hAnsi="Arial"/>
          <w:color w:val="1F2937"/>
          <w:sz w:val="22"/>
          <w:szCs w:val="22"/>
        </w:rPr>
        <w:t>. Tras la transformación, la media (12,74) y la mediana (12,51) resultan considerablemente más próximas entre sí, indicando una distribución más simétrica y adecuada para el modelado.</w:t>
      </w:r>
    </w:p>
    <w:p>
      <w:pPr>
        <w:pStyle w:val="BodyText"/>
        <w:bidi w:val="0"/>
        <w:spacing w:before="60" w:after="80"/>
        <w:jc w:val="start"/>
        <w:rPr/>
      </w:pPr>
      <w:r>
        <w:rPr>
          <w:rStyle w:val="Strong"/>
          <w:rFonts w:eastAsia="Arial" w:cs="Arial" w:ascii="Arial" w:hAnsi="Arial"/>
          <w:color w:val="1F2937"/>
          <w:sz w:val="22"/>
          <w:szCs w:val="22"/>
        </w:rPr>
        <w:t>Distribución de log_sal — hallazgo relevante</w:t>
      </w:r>
    </w:p>
    <w:p>
      <w:pPr>
        <w:pStyle w:val="BodyText"/>
        <w:bidi w:val="0"/>
        <w:spacing w:before="60" w:after="80"/>
        <w:jc w:val="start"/>
        <w:rPr/>
      </w:pPr>
      <w:r>
        <w:rPr>
          <w:rFonts w:eastAsia="Arial" w:cs="Arial" w:ascii="Arial" w:hAnsi="Arial"/>
          <w:color w:val="1F2937"/>
          <w:sz w:val="22"/>
          <w:szCs w:val="22"/>
        </w:rPr>
        <w:t xml:space="preserve">El histograma con curva de densidad de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revela una distribución bimodal, con dos picos claramente diferenciados: uno alrededor de log_sal ≈ 11-12 y otro alrededor de ≈ 14-15. Esta característica sugiere la presencia de dos grupos de encuestados con estructuras salariales distintas, posiblemente asociados a quienes perciben su remuneración en pesos y quienes lo hacen en dólares. Esta hipótesis será explorada en el análisis de variables categóricas.</w:t>
      </w:r>
    </w:p>
    <w:p>
      <w:pPr>
        <w:pStyle w:val="BodyText"/>
        <w:bidi w:val="0"/>
        <w:spacing w:before="60" w:after="80"/>
        <w:jc w:val="start"/>
        <w:rPr/>
      </w:pPr>
      <w:r>
        <w:rPr>
          <w:rStyle w:val="Strong"/>
          <w:rFonts w:eastAsia="Arial" w:cs="Arial" w:ascii="Arial" w:hAnsi="Arial"/>
          <w:color w:val="1F2937"/>
          <w:sz w:val="22"/>
          <w:szCs w:val="22"/>
        </w:rPr>
        <w:t>Boxplot</w:t>
      </w:r>
    </w:p>
    <w:p>
      <w:pPr>
        <w:pStyle w:val="BodyText"/>
        <w:bidi w:val="0"/>
        <w:spacing w:before="60" w:after="80"/>
        <w:jc w:val="start"/>
        <w:rPr/>
      </w:pPr>
      <w:r>
        <w:rPr>
          <w:rFonts w:eastAsia="Arial" w:cs="Arial" w:ascii="Arial" w:hAnsi="Arial"/>
          <w:color w:val="1F2937"/>
          <w:sz w:val="22"/>
          <w:szCs w:val="22"/>
        </w:rPr>
        <w:t xml:space="preserve">El boxplot de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confirma que, tras la transformación, el 50% central de los datos se distribuye entre aproximadamente 11,5 y 14,3. Se observa una cola inferior extendida que corresponde a los salarios más bajos del dataset, mientras que la cola superior es más corta, lo que indica que la transformación logarítmica redujo eficazmente la influencia de los valores extremos superiores.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rFonts w:ascii="Arial" w:hAnsi="Arial"/>
        </w:rPr>
        <w:t>4. Variables Numericas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pPr>
      <w:r>
        <w:rPr>
          <w:rFonts w:eastAsia="Arial" w:cs="Arial" w:ascii="Arial" w:hAnsi="Arial"/>
          <w:color w:val="1F2937"/>
          <w:sz w:val="22"/>
          <w:szCs w:val="22"/>
        </w:rPr>
        <w:t>Se analizó la relación entre las principales variables numéricas del dataset y el logaritmo del salario bruto (</w:t>
      </w:r>
      <w:r>
        <w:rPr>
          <w:rStyle w:val="SourceText"/>
          <w:rFonts w:eastAsia="Arial" w:cs="Arial" w:ascii="Arial" w:hAnsi="Arial"/>
          <w:color w:val="1F2937"/>
          <w:sz w:val="22"/>
          <w:szCs w:val="22"/>
        </w:rPr>
        <w:t>log_sal</w:t>
      </w:r>
      <w:r>
        <w:rPr>
          <w:rFonts w:eastAsia="Arial" w:cs="Arial" w:ascii="Arial" w:hAnsi="Arial"/>
          <w:color w:val="1F2937"/>
          <w:sz w:val="22"/>
          <w:szCs w:val="22"/>
        </w:rPr>
        <w:t>), utilizando gráficos de dispersión con ajuste lineal e intervalos de confianza al 95%.</w:t>
      </w:r>
    </w:p>
    <w:p>
      <w:pPr>
        <w:pStyle w:val="BodyText"/>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Experiencia</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Se observa una relación positiva entre los años de experiencia y el salario, aunque de magnitud moderada. La nube de puntos presenta una dispersión vertical considerable en todos los niveles de experiencia, lo que indica que la experiencia por sí sola no determina el salario. La mayoría de las observaciones se concentra entre 0 y 20 años, con pocos casos por encima de 40 años que no siguen una tendencia clara. Esto sugiere que la experiencia es una variable relevante pero insuficiente para explicar las diferencias salariales de forma aislada.</w:t>
      </w:r>
    </w:p>
    <w:p>
      <w:pPr>
        <w:pStyle w:val="BodyText"/>
        <w:bidi w:val="0"/>
        <w:spacing w:before="60" w:after="80"/>
        <w:jc w:val="start"/>
        <w:rPr>
          <w:rStyle w:val="Strong"/>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Edad</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 relación entre edad y salario muestra una tendencia positiva similar a la de experiencia, lo cual es esperable dado que ambas variables están correlacionadas. Sin embargo, la dispersión es aún mayor: personas de similar edad presentan rangos salariales muy amplios. Esto anticipa un posible problema de multicolinealidad entre edad y experiencia que deberá considerarse en el modelado.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Style w:val="Strong"/>
          <w:rFonts w:eastAsia="Arial" w:cs="Arial" w:ascii="Arial" w:hAnsi="Arial"/>
          <w:color w:val="1F2937"/>
          <w:sz w:val="22"/>
          <w:szCs w:val="22"/>
        </w:rPr>
        <w:t>Personas a cargo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gráfico de dispersión muestra que el 80% de las observaciones se concentra en x=0 (sin personas a cargo), lo que limita la capacidad del ajuste lineal para capturar una tendencia real. El intervalo de confianza se amplía considerablemente a medida que aumenta la cantidad de personas a cargo, reflejando la escasez de observaciones en esos rangos.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boxplot por grupos resulta más informativo: quienes lideran equipos grandes presentan la mediana salarial más alta, aunque también la mayor dispersión. Llamativamente, las medianas de los grupos "Sin equipo", "Equipo pequeño" y "Equipo mediano" son similares entre sí, lo que sugiere que la relación entre liderazgo y salario no es lineal y podría estar mediada por otras variables como el seniority o el grupo de rol.</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En conjunto, las variables numéricas muestran relaciones positivas con el salario pero con alta dispersión individual, lo que sugiere que su poder explicativo mejorará al incorporarlas junto a variables categóricas como seniority, grupo de rol y dolarización en el modelo de regresión.</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rFonts w:ascii="Arial" w:hAnsi="Arial"/>
        </w:rPr>
        <w:t>4. Variables Categoricas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pPr>
      <w:r>
        <w:rPr>
          <w:rStyle w:val="Strong"/>
          <w:rFonts w:eastAsia="Arial" w:cs="Arial" w:ascii="Arial" w:hAnsi="Arial"/>
          <w:color w:val="1F2937"/>
          <w:sz w:val="22"/>
          <w:szCs w:val="22"/>
        </w:rPr>
        <w:t>Seniority</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seniority es la variable categórica con mayor poder discriminante sobre el salario. Se observa una separación clara y progresiva entre las tres categorías: la mediana del logaritmo salarial aumenta de Junior (~14,1) a Semi-Senior (~14,4) y a Senior (~14,9), con escasa superposición entre las cajas. Las diferencias son consistentes y las distribuciones de cada nivel son relativamente compactas en su rango intercuartílico. Este patrón sugiere que el seniority será una de las variables más relevantes en el modelo de regresión. Cabe recordar que esta variable solo está disponible para los períodos 2024-2026, por lo que el análisis se restringe a 5.091 observaciones.</w:t>
      </w:r>
    </w:p>
    <w:p>
      <w:pPr>
        <w:pStyle w:val="BodyText"/>
        <w:bidi w:val="0"/>
        <w:spacing w:before="60" w:after="80"/>
        <w:jc w:val="start"/>
        <w:rPr/>
      </w:pPr>
      <w:r>
        <w:rPr>
          <w:rStyle w:val="Strong"/>
          <w:rFonts w:eastAsia="Arial" w:cs="Arial" w:ascii="Arial" w:hAnsi="Arial"/>
          <w:color w:val="1F2937"/>
          <w:sz w:val="22"/>
          <w:szCs w:val="22"/>
        </w:rPr>
        <w:t>Modalidad de trabajo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Las tres modalidades de trabajo presentan medianas salariales muy similares entre sí, sin una diferencia clara y consistente. El trabajo remoto e híbrido muestran distribuciones prácticamente equivalentes, mientras que el trabajo presencial presenta una mediana levemente inferior y una dispersión algo menor. Este hallazgo es contrario a la intuición de que el trabajo remoto estaría asociado a salarios más altos, y sugiere que la modalidad no sería un determinante relevante del salario en este sector, o que su efecto está mediado por otras variables como el rol o la dolarización.</w:t>
      </w:r>
    </w:p>
    <w:p>
      <w:pPr>
        <w:pStyle w:val="BodyText"/>
        <w:bidi w:val="0"/>
        <w:spacing w:before="60" w:after="80"/>
        <w:jc w:val="start"/>
        <w:rPr/>
      </w:pPr>
      <w:r>
        <w:rPr>
          <w:rStyle w:val="Strong"/>
          <w:rFonts w:eastAsia="Arial" w:cs="Arial" w:ascii="Arial" w:hAnsi="Arial"/>
          <w:color w:val="1F2937"/>
          <w:sz w:val="22"/>
          <w:szCs w:val="22"/>
        </w:rPr>
        <w:t>Dolarización del sueldo</w:t>
      </w:r>
    </w:p>
    <w:p>
      <w:pPr>
        <w:pStyle w:val="BodyText"/>
        <w:bidi w:val="0"/>
        <w:spacing w:before="60" w:after="80"/>
        <w:jc w:val="start"/>
        <w:rPr/>
      </w:pPr>
      <w:r>
        <w:rPr>
          <w:rFonts w:eastAsia="Arial" w:cs="Arial" w:ascii="Arial" w:hAnsi="Arial"/>
          <w:color w:val="1F2937"/>
          <w:sz w:val="22"/>
          <w:szCs w:val="22"/>
        </w:rPr>
        <w:t xml:space="preserve">La dolarización del sueldo muestra la diferencia salarial más pronunciada de todas las variables categóricas analizadas. Los encuestados que perciben su remuneración en dólares presentan una mediana notablemente superior (~14,9) respecto a quienes cobran en pesos (~14,7), con menor dispersión en el rango intercuartílico. Este hallazgo conecta directamente con la distribución bimodal observada en </w:t>
      </w:r>
      <w:r>
        <w:rPr>
          <w:rStyle w:val="SourceText"/>
          <w:rFonts w:eastAsia="Arial" w:cs="Arial" w:ascii="Arial" w:hAnsi="Arial"/>
          <w:color w:val="1F2937"/>
          <w:sz w:val="22"/>
          <w:szCs w:val="22"/>
        </w:rPr>
        <w:t>log_sal</w:t>
      </w:r>
      <w:r>
        <w:rPr>
          <w:rFonts w:eastAsia="Arial" w:cs="Arial" w:ascii="Arial" w:hAnsi="Arial"/>
          <w:color w:val="1F2937"/>
          <w:sz w:val="22"/>
          <w:szCs w:val="22"/>
        </w:rPr>
        <w:t xml:space="preserve"> en la sección 3, donde los dos picos podrían corresponder </w:t>
      </w:r>
      <w:r>
        <w:rPr>
          <w:rFonts w:eastAsia="Arial" w:cs="Arial" w:ascii="Arial" w:hAnsi="Arial"/>
          <w:color w:val="1F2937"/>
          <w:sz w:val="22"/>
          <w:szCs w:val="22"/>
        </w:rPr>
        <w:t>precisamente a estos dos grupos.</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El gráfico de dispersión por experiencia confirma que la brecha salarial entre dolarizados y no dolarizados se mantiene en todos los niveles de experiencia. Ambos grupos muestran una tendencia positiva con la experiencia, pero los dolarizados parten de una base consistentemente más alta y la mantienen a lo largo de toda la trayectoria laboral.</w:t>
      </w:r>
    </w:p>
    <w:p>
      <w:pPr>
        <w:pStyle w:val="BodyText"/>
        <w:bidi w:val="0"/>
        <w:spacing w:before="60" w:after="80"/>
        <w:jc w:val="start"/>
        <w:rPr/>
      </w:pPr>
      <w:r>
        <w:rPr>
          <w:rStyle w:val="Strong"/>
          <w:rFonts w:eastAsia="Arial" w:cs="Arial" w:ascii="Arial" w:hAnsi="Arial"/>
          <w:color w:val="1F2937"/>
          <w:sz w:val="22"/>
          <w:szCs w:val="22"/>
        </w:rPr>
        <w:t>Tamaño de la organización</w:t>
      </w:r>
    </w:p>
    <w:p>
      <w:pPr>
        <w:pStyle w:val="BodyText"/>
        <w:bidi w:val="0"/>
        <w:spacing w:before="60" w:after="80"/>
        <w:jc w:val="start"/>
        <w:rPr/>
      </w:pPr>
      <w:r>
        <w:rPr>
          <w:rFonts w:eastAsia="Arial" w:cs="Arial" w:ascii="Arial" w:hAnsi="Arial"/>
          <w:color w:val="1F2937"/>
          <w:sz w:val="22"/>
          <w:szCs w:val="22"/>
        </w:rPr>
        <w:t xml:space="preserve">El tamaño de la organización no muestra una relación clara y consistente con el salario. Las medianas salariales son notablemente similares entre empresas de todos los tamaños, desde </w:t>
      </w:r>
      <w:r>
        <w:rPr>
          <w:rFonts w:eastAsia="Arial" w:cs="Arial" w:ascii="Arial" w:hAnsi="Arial"/>
          <w:color w:val="1F2937"/>
          <w:sz w:val="22"/>
          <w:szCs w:val="22"/>
        </w:rPr>
        <w:t>organizaciones unipersonales hasta corporaciones de más de 10.000 personas. Esto sugiere que el tamaño de la empresa no aportaría poder explicativo relevante al modelo de regresión.</w:t>
      </w:r>
    </w:p>
    <w:p>
      <w:pPr>
        <w:pStyle w:val="BodyText"/>
        <w:bidi w:val="0"/>
        <w:spacing w:before="60" w:after="80"/>
        <w:jc w:val="start"/>
        <w:rPr/>
      </w:pPr>
      <w:r>
        <w:rPr>
          <w:rStyle w:val="Strong"/>
          <w:rFonts w:eastAsia="Arial" w:cs="Arial" w:ascii="Arial" w:hAnsi="Arial"/>
          <w:color w:val="1F2937"/>
          <w:sz w:val="22"/>
          <w:szCs w:val="22"/>
        </w:rPr>
        <w:t>Personas a cargo</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Los encuestados que lideran equipos grandes presentan la mediana salarial más alta, aunque también la mayor dispersión. Sin embargo, las diferencias entre "Sin equipo", "Equipo pequeño" y "Equipo mediano" son menores de lo esperado, lo que sugiere que la relación entre liderazgo de equipos y salario no es lineal y podría estar mediada por el seniority o el grupo de rol.</w:t>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BodyText"/>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Heading1"/>
        <w:keepNext w:val="true"/>
        <w:pBdr>
          <w:bottom w:val="single" w:sz="4" w:space="6" w:color="2563EB"/>
        </w:pBdr>
        <w:bidi w:val="0"/>
        <w:jc w:val="start"/>
        <w:rPr>
          <w:rFonts w:ascii="Arial" w:hAnsi="Arial"/>
        </w:rPr>
      </w:pPr>
      <w:r>
        <w:rPr>
          <w:rFonts w:ascii="Arial" w:hAnsi="Arial"/>
        </w:rPr>
        <w:t>Implicancias para el modelado</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Debido a la disponibilidad desigual de algunas variables entre períodos, se considerará la construcción de modelos alternativos: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MODELOS QUE INCLUYAN </w:t>
      </w:r>
      <w:r>
        <w:rPr>
          <w:rFonts w:eastAsia="Arial" w:cs="Arial" w:ascii="Arial" w:hAnsi="Arial"/>
          <w:b/>
          <w:bCs/>
          <w:color w:val="1F2937"/>
          <w:sz w:val="22"/>
          <w:szCs w:val="22"/>
        </w:rPr>
        <w:t>SENIORITY</w:t>
      </w:r>
      <w:r>
        <w:rPr>
          <w:rFonts w:eastAsia="Arial" w:cs="Arial" w:ascii="Arial" w:hAnsi="Arial"/>
          <w:color w:val="1F2937"/>
          <w:sz w:val="22"/>
          <w:szCs w:val="22"/>
        </w:rPr>
        <w:t xml:space="preserve"> y </w:t>
      </w:r>
      <w:r>
        <w:rPr>
          <w:rFonts w:eastAsia="Arial" w:cs="Arial" w:ascii="Arial" w:hAnsi="Arial"/>
          <w:b/>
          <w:bCs/>
          <w:color w:val="1F2937"/>
          <w:sz w:val="22"/>
          <w:szCs w:val="22"/>
        </w:rPr>
        <w:t>SUELDO_DOLARIZADO</w:t>
      </w:r>
      <w:r>
        <w:rPr>
          <w:rFonts w:eastAsia="Arial" w:cs="Arial" w:ascii="Arial" w:hAnsi="Arial"/>
          <w:color w:val="1F2937"/>
          <w:sz w:val="22"/>
          <w:szCs w:val="22"/>
        </w:rPr>
        <w:t>:</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2024.1</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2025.1</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2025.2</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2026.1</w:t>
      </w:r>
    </w:p>
    <w:p>
      <w:pPr>
        <w:pStyle w:val="Normal"/>
        <w:bidi w:val="0"/>
        <w:spacing w:before="60" w:after="80"/>
        <w:jc w:val="start"/>
        <w:rPr>
          <w:rFonts w:ascii="Arial" w:hAnsi="Arial" w:eastAsia="Arial" w:cs="Arial"/>
          <w:color w:val="1F2937"/>
          <w:sz w:val="18"/>
          <w:szCs w:val="18"/>
        </w:rPr>
      </w:pPr>
      <w:r>
        <w:rPr>
          <w:rFonts w:eastAsia="Arial" w:cs="Arial" w:ascii="Arial" w:hAnsi="Arial"/>
          <w:color w:val="1F2937"/>
          <w:sz w:val="18"/>
          <w:szCs w:val="18"/>
        </w:rPr>
        <w:t>Cantidad aproximada de observaciones: 5.091 registros.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 xml:space="preserve">MODELOS QUE </w:t>
      </w:r>
      <w:r>
        <w:rPr>
          <w:rFonts w:eastAsia="Arial" w:cs="Arial" w:ascii="Arial" w:hAnsi="Arial"/>
          <w:color w:val="1F2937"/>
          <w:sz w:val="22"/>
          <w:szCs w:val="22"/>
        </w:rPr>
        <w:t>NO</w:t>
      </w:r>
      <w:r>
        <w:rPr>
          <w:rFonts w:eastAsia="Arial" w:cs="Arial" w:ascii="Arial" w:hAnsi="Arial"/>
          <w:color w:val="1F2937"/>
          <w:sz w:val="22"/>
          <w:szCs w:val="22"/>
        </w:rPr>
        <w:t xml:space="preserve"> INCLUYAN </w:t>
      </w:r>
      <w:r>
        <w:rPr>
          <w:rFonts w:eastAsia="Arial" w:cs="Arial" w:ascii="Arial" w:hAnsi="Arial"/>
          <w:b/>
          <w:bCs/>
          <w:color w:val="1F2937"/>
          <w:sz w:val="22"/>
          <w:szCs w:val="22"/>
        </w:rPr>
        <w:t>SENIORITY</w:t>
      </w:r>
      <w:r>
        <w:rPr>
          <w:rFonts w:eastAsia="Arial" w:cs="Arial" w:ascii="Arial" w:hAnsi="Arial"/>
          <w:color w:val="1F2937"/>
          <w:sz w:val="22"/>
          <w:szCs w:val="22"/>
        </w:rPr>
        <w:t xml:space="preserve"> </w:t>
      </w:r>
      <w:r>
        <w:rPr>
          <w:rFonts w:eastAsia="Arial" w:cs="Arial" w:ascii="Arial" w:hAnsi="Arial"/>
          <w:color w:val="1F2937"/>
          <w:sz w:val="22"/>
          <w:szCs w:val="22"/>
        </w:rPr>
        <w:t>NI</w:t>
      </w:r>
      <w:r>
        <w:rPr>
          <w:rFonts w:eastAsia="Arial" w:cs="Arial" w:ascii="Arial" w:hAnsi="Arial"/>
          <w:color w:val="1F2937"/>
          <w:sz w:val="22"/>
          <w:szCs w:val="22"/>
        </w:rPr>
        <w:t xml:space="preserve"> </w:t>
      </w:r>
      <w:r>
        <w:rPr>
          <w:rFonts w:eastAsia="Arial" w:cs="Arial" w:ascii="Arial" w:hAnsi="Arial"/>
          <w:b/>
          <w:bCs/>
          <w:color w:val="1F2937"/>
          <w:sz w:val="22"/>
          <w:szCs w:val="22"/>
        </w:rPr>
        <w:t>SUELDO_DOLARIZADO</w:t>
      </w:r>
      <w:r>
        <w:rPr>
          <w:rFonts w:eastAsia="Arial" w:cs="Arial" w:ascii="Arial" w:hAnsi="Arial"/>
          <w:color w:val="1F2937"/>
          <w:sz w:val="22"/>
          <w:szCs w:val="22"/>
        </w:rPr>
        <w:t>:</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t>2019 → 2026</w:t>
      </w:r>
    </w:p>
    <w:p>
      <w:pPr>
        <w:pStyle w:val="Normal"/>
        <w:bidi w:val="0"/>
        <w:spacing w:before="60" w:after="80"/>
        <w:jc w:val="start"/>
        <w:rPr>
          <w:rFonts w:ascii="Arial" w:hAnsi="Arial" w:eastAsia="Arial" w:cs="Arial"/>
          <w:color w:val="1F2937"/>
          <w:sz w:val="18"/>
          <w:szCs w:val="18"/>
        </w:rPr>
      </w:pPr>
      <w:r>
        <w:rPr>
          <w:rFonts w:eastAsia="Arial" w:cs="Arial" w:ascii="Arial" w:hAnsi="Arial"/>
          <w:color w:val="1F2937"/>
          <w:sz w:val="18"/>
          <w:szCs w:val="18"/>
        </w:rPr>
        <w:t xml:space="preserve">Cantidad aproximada de observaciones: </w:t>
      </w:r>
      <w:r>
        <w:rPr>
          <w:rFonts w:eastAsia="Arial" w:cs="Arial" w:ascii="Arial" w:hAnsi="Arial"/>
          <w:color w:val="1F2937"/>
          <w:sz w:val="18"/>
          <w:szCs w:val="18"/>
        </w:rPr>
        <w:t>15.300</w:t>
      </w:r>
      <w:r>
        <w:rPr>
          <w:rFonts w:eastAsia="Arial" w:cs="Arial" w:ascii="Arial" w:hAnsi="Arial"/>
          <w:color w:val="1F2937"/>
          <w:sz w:val="18"/>
          <w:szCs w:val="18"/>
        </w:rPr>
        <w:t xml:space="preserve"> registros.</w:t>
      </w:r>
    </w:p>
    <w:p>
      <w:pPr>
        <w:pStyle w:val="Normal"/>
        <w:bidi w:val="0"/>
        <w:spacing w:before="60" w:after="80"/>
        <w:jc w:val="start"/>
        <w:rPr>
          <w:rFonts w:ascii="Arial" w:hAnsi="Arial" w:eastAsia="Arial" w:cs="Arial"/>
          <w:color w:val="1F2937"/>
          <w:sz w:val="22"/>
          <w:szCs w:val="22"/>
        </w:rPr>
      </w:pPr>
      <w:r>
        <w:rPr>
          <w:rFonts w:eastAsia="Arial" w:cs="Arial" w:ascii="Arial" w:hAnsi="Arial"/>
          <w:color w:val="1F2937"/>
          <w:sz w:val="22"/>
          <w:szCs w:val="22"/>
        </w:rPr>
      </w:r>
    </w:p>
    <w:p>
      <w:pPr>
        <w:pStyle w:val="Normal"/>
        <w:bidi w:val="0"/>
        <w:spacing w:before="60" w:after="80"/>
        <w:jc w:val="start"/>
        <w:rPr>
          <w:rFonts w:ascii="Arial" w:hAnsi="Arial"/>
        </w:rPr>
      </w:pPr>
      <w:r>
        <w:rPr>
          <w:rFonts w:eastAsia="Arial" w:cs="Arial" w:ascii="Arial" w:hAnsi="Arial"/>
          <w:color w:val="1F2937"/>
          <w:sz w:val="22"/>
          <w:szCs w:val="22"/>
        </w:rPr>
        <w:t>Esta estrategia permite maximizar la cantidad de observaciones disponibles según las variables de interés, y será el criterio que guíe la construcción de los modelos en la etapa siguiente</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s-A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es-AR" w:eastAsia="zh-CN" w:bidi="hi-IN"/>
    </w:rPr>
  </w:style>
  <w:style w:type="paragraph" w:styleId="Heading1">
    <w:name w:val="heading 1"/>
    <w:basedOn w:val="Heading"/>
    <w:qFormat/>
    <w:pPr>
      <w:spacing w:before="360" w:after="120"/>
      <w:outlineLvl w:val="0"/>
    </w:pPr>
    <w:rPr>
      <w:rFonts w:ascii="Arial" w:hAnsi="Arial" w:eastAsia="Arial" w:cs="Arial"/>
      <w:b/>
      <w:bCs/>
      <w:color w:val="2563EB"/>
      <w:sz w:val="32"/>
      <w:szCs w:val="32"/>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75</TotalTime>
  <Application>LibreOffice/26.2.0.3$MacOSX_AARCH64 LibreOffice_project/afbbd0df0edb6d40b450b0337ac646b0913a760c</Application>
  <AppVersion>15.0000</AppVersion>
  <Pages>5</Pages>
  <Words>1501</Words>
  <Characters>8357</Characters>
  <CharactersWithSpaces>9805</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2026-05-29T23:49:24Z</dcterms:created>
  <dc:creator/>
  <dc:description/>
  <dc:language>es-AR</dc:language>
  <cp:lastModifiedBy/>
  <dcterms:modified xsi:type="dcterms:W3CDTF">2026-05-30T02:32:34Z</dcterms:modified>
  <cp:revision>20</cp:revision>
  <dc:subject/>
  <dc:title/>
</cp:coreProperties>
</file>