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480" w:after="80"/>
        <w:jc w:val="center"/>
        <w:rPr>
          <w:color w:val="000000"/>
        </w:rPr>
      </w:pPr>
      <w:r>
        <w:rPr>
          <w:rFonts w:eastAsia="Arial" w:cs="Arial" w:ascii="Arial" w:hAnsi="Arial"/>
          <w:b/>
          <w:bCs/>
          <w:color w:val="000000"/>
          <w:sz w:val="52"/>
          <w:szCs w:val="52"/>
        </w:rPr>
        <w:t>Analisis Exploratorio de Datos</w:t>
      </w:r>
    </w:p>
    <w:p>
      <w:pPr>
        <w:pStyle w:val="Normal"/>
        <w:bidi w:val="0"/>
        <w:spacing w:lineRule="exact" w:line="283" w:before="480" w:after="80"/>
        <w:jc w:val="center"/>
        <w:rPr>
          <w:color w:val="000000"/>
        </w:rPr>
      </w:pPr>
      <w:r>
        <w:rPr>
          <w:rFonts w:eastAsia="Arial" w:cs="Arial" w:ascii="Arial" w:hAnsi="Arial"/>
          <w:b w:val="false"/>
          <w:bCs w:val="false"/>
          <w:color w:val="000000"/>
          <w:sz w:val="26"/>
          <w:szCs w:val="26"/>
        </w:rPr>
        <w:t>Encuesta Sysarmy de Remuneraciones IT Argentina 2019-2026</w:t>
      </w:r>
    </w:p>
    <w:p>
      <w:pPr>
        <w:pStyle w:val="Normal"/>
        <w:bidi w:val="0"/>
        <w:spacing w:before="0" w:after="40"/>
        <w:jc w:val="center"/>
        <w:rPr>
          <w:rFonts w:ascii="Arial" w:hAnsi="Arial" w:eastAsia="Arial" w:cs="Arial"/>
          <w:color w:val="000000"/>
          <w:sz w:val="32"/>
          <w:szCs w:val="32"/>
        </w:rPr>
      </w:pPr>
      <w:r>
        <w:rPr>
          <w:rFonts w:eastAsia="Arial" w:cs="Arial" w:ascii="Arial" w:hAnsi="Arial"/>
          <w:color w:val="000000"/>
          <w:sz w:val="32"/>
          <w:szCs w:val="32"/>
        </w:rPr>
      </w:r>
    </w:p>
    <w:p>
      <w:pPr>
        <w:pStyle w:val="Normal"/>
        <w:bidi w:val="0"/>
        <w:spacing w:before="40" w:after="480"/>
        <w:jc w:val="center"/>
        <w:rPr>
          <w:rFonts w:ascii="Arial" w:hAnsi="Arial" w:eastAsia="Arial" w:cs="Arial"/>
          <w:i/>
          <w:iCs/>
          <w:color w:val="000000"/>
          <w:sz w:val="22"/>
          <w:szCs w:val="22"/>
        </w:rPr>
      </w:pPr>
      <w:r>
        <w:rPr>
          <w:rFonts w:eastAsia="Arial" w:cs="Arial" w:ascii="Arial" w:hAnsi="Arial"/>
          <w:i/>
          <w:iCs/>
          <w:color w:val="000000"/>
          <w:sz w:val="22"/>
          <w:szCs w:val="22"/>
        </w:rPr>
      </w:r>
    </w:p>
    <w:p>
      <w:pPr>
        <w:pStyle w:val="Heading1"/>
        <w:pBdr>
          <w:bottom w:val="single" w:sz="4" w:space="6" w:color="2563EB"/>
        </w:pBdr>
        <w:bidi w:val="0"/>
        <w:spacing w:before="360" w:after="120"/>
        <w:jc w:val="start"/>
        <w:rPr>
          <w:rFonts w:eastAsia="Arial" w:cs="Arial"/>
          <w:b/>
          <w:bCs/>
          <w:color w:val="000000"/>
          <w:sz w:val="32"/>
          <w:szCs w:val="32"/>
        </w:rPr>
      </w:pPr>
      <w:r>
        <w:rPr>
          <w:rFonts w:eastAsia="Arial" w:cs="Arial"/>
          <w:b/>
          <w:bCs/>
          <w:color w:val="000000"/>
          <w:sz w:val="32"/>
          <w:szCs w:val="32"/>
        </w:rPr>
        <w:t>1. Calidad de los datos</w:t>
      </w:r>
    </w:p>
    <w:p>
      <w:pPr>
        <w:pStyle w:val="Normal"/>
        <w:bidi w:val="0"/>
        <w:spacing w:before="60" w:after="80"/>
        <w:jc w:val="start"/>
        <w:rPr>
          <w:rFonts w:ascii="Arial" w:hAnsi="Arial" w:eastAsia="Arial" w:cs="Arial"/>
          <w:sz w:val="22"/>
          <w:szCs w:val="22"/>
        </w:rPr>
      </w:pPr>
      <w:r>
        <w:rPr>
          <w:rFonts w:eastAsia="Arial" w:cs="Arial" w:ascii="Arial" w:hAnsi="Arial"/>
          <w:color w:val="000000"/>
          <w:sz w:val="22"/>
          <w:szCs w:val="22"/>
        </w:rPr>
      </w:r>
    </w:p>
    <w:p>
      <w:pPr>
        <w:pStyle w:val="Normal"/>
        <w:bidi w:val="0"/>
        <w:spacing w:before="60" w:after="80"/>
        <w:jc w:val="start"/>
        <w:rPr>
          <w:rFonts w:ascii="Arial" w:hAnsi="Arial" w:eastAsia="Arial" w:cs="Arial"/>
          <w:color w:val="000000"/>
          <w:sz w:val="22"/>
          <w:szCs w:val="22"/>
        </w:rPr>
      </w:pPr>
      <w:r>
        <w:rPr>
          <w:rFonts w:eastAsia="Arial" w:cs="Arial" w:ascii="Arial" w:hAnsi="Arial"/>
          <w:color w:val="000000"/>
          <w:sz w:val="22"/>
          <w:szCs w:val="22"/>
        </w:rPr>
        <w:t>La calidad general de los datos es buena. Las variables principales utilizadas para el modelado, como salario, experiencia, antigüedad, rol, género y región, no presentan valores faltantes.</w:t>
      </w:r>
    </w:p>
    <w:p>
      <w:pPr>
        <w:pStyle w:val="Normal"/>
        <w:bidi w:val="0"/>
        <w:spacing w:before="60" w:after="80"/>
        <w:jc w:val="start"/>
        <w:rPr/>
      </w:pPr>
      <w:r>
        <w:rPr>
          <w:rFonts w:eastAsia="Arial" w:cs="Arial" w:ascii="Arial" w:hAnsi="Arial"/>
          <w:color w:val="000000"/>
          <w:sz w:val="22"/>
          <w:szCs w:val="22"/>
        </w:rPr>
        <w:t xml:space="preserve">Se detectan faltantes importantes en las variables </w:t>
      </w:r>
      <w:r>
        <w:rPr>
          <w:rStyle w:val="Strong"/>
          <w:rFonts w:eastAsia="Arial" w:cs="Arial" w:ascii="Arial" w:hAnsi="Arial"/>
          <w:color w:val="000000"/>
          <w:sz w:val="22"/>
          <w:szCs w:val="22"/>
        </w:rPr>
        <w:t>seniority</w:t>
      </w:r>
      <w:r>
        <w:rPr>
          <w:rFonts w:eastAsia="Arial" w:cs="Arial" w:ascii="Arial" w:hAnsi="Arial"/>
          <w:color w:val="000000"/>
          <w:sz w:val="22"/>
          <w:szCs w:val="22"/>
        </w:rPr>
        <w:t xml:space="preserve">, </w:t>
      </w:r>
      <w:r>
        <w:rPr>
          <w:rStyle w:val="Strong"/>
          <w:rFonts w:eastAsia="Arial" w:cs="Arial" w:ascii="Arial" w:hAnsi="Arial"/>
          <w:color w:val="000000"/>
          <w:sz w:val="22"/>
          <w:szCs w:val="22"/>
        </w:rPr>
        <w:t>sueldo_dolarizado</w:t>
      </w:r>
      <w:r>
        <w:rPr>
          <w:rFonts w:eastAsia="Arial" w:cs="Arial" w:ascii="Arial" w:hAnsi="Arial"/>
          <w:color w:val="000000"/>
          <w:sz w:val="22"/>
          <w:szCs w:val="22"/>
        </w:rPr>
        <w:t xml:space="preserve"> y </w:t>
      </w:r>
      <w:r>
        <w:rPr>
          <w:rStyle w:val="Strong"/>
          <w:rFonts w:eastAsia="Arial" w:cs="Arial" w:ascii="Arial" w:hAnsi="Arial"/>
          <w:color w:val="000000"/>
          <w:sz w:val="22"/>
          <w:szCs w:val="22"/>
        </w:rPr>
        <w:t>uso_ia</w:t>
      </w:r>
      <w:r>
        <w:rPr>
          <w:rFonts w:eastAsia="Arial" w:cs="Arial" w:ascii="Arial" w:hAnsi="Arial"/>
          <w:color w:val="000000"/>
          <w:sz w:val="22"/>
          <w:szCs w:val="22"/>
        </w:rPr>
        <w:t xml:space="preserve">, con aproximadamente un 66,7% de valores faltantes. Inicialmente, esto podría sugerir problemas de calidad de datos; sin embargo, un análisis más detallado </w:t>
      </w:r>
      <w:r>
        <w:rPr>
          <w:rFonts w:eastAsia="Arial" w:cs="Arial" w:ascii="Arial" w:hAnsi="Arial"/>
          <w:color w:val="000000"/>
          <w:sz w:val="22"/>
          <w:szCs w:val="22"/>
        </w:rPr>
        <w:t>n</w:t>
      </w:r>
      <w:r>
        <w:rPr>
          <w:rFonts w:eastAsia="Arial" w:cs="Arial" w:ascii="Arial" w:hAnsi="Arial"/>
          <w:color w:val="000000"/>
          <w:sz w:val="22"/>
          <w:szCs w:val="22"/>
        </w:rPr>
        <w:t xml:space="preserve">os </w:t>
      </w:r>
      <w:r>
        <w:rPr>
          <w:rFonts w:eastAsia="Arial" w:cs="Arial" w:ascii="Arial" w:hAnsi="Arial"/>
          <w:color w:val="000000"/>
          <w:sz w:val="22"/>
          <w:szCs w:val="22"/>
        </w:rPr>
        <w:t xml:space="preserve">permitió identificar que dichos faltantes no son aleatorios. </w:t>
      </w:r>
      <w:r>
        <w:rPr>
          <w:rFonts w:eastAsia="Arial" w:cs="Arial" w:ascii="Arial" w:hAnsi="Arial"/>
          <w:color w:val="000000"/>
          <w:sz w:val="22"/>
          <w:szCs w:val="22"/>
        </w:rPr>
        <w:t xml:space="preserve">Al analizar la distribución de los valores faltantes por año y semestre, se observó que estos se encuentran asociados al período de relevamiento de la encuesta. Las variables </w:t>
      </w:r>
      <w:r>
        <w:rPr>
          <w:rStyle w:val="Strong"/>
          <w:rFonts w:eastAsia="Arial" w:cs="Arial" w:ascii="Arial" w:hAnsi="Arial"/>
          <w:color w:val="000000"/>
          <w:sz w:val="22"/>
          <w:szCs w:val="22"/>
        </w:rPr>
        <w:t>seniority</w:t>
      </w:r>
      <w:r>
        <w:rPr>
          <w:rFonts w:eastAsia="Arial" w:cs="Arial" w:ascii="Arial" w:hAnsi="Arial"/>
          <w:color w:val="000000"/>
          <w:sz w:val="22"/>
          <w:szCs w:val="22"/>
        </w:rPr>
        <w:t xml:space="preserve">, </w:t>
      </w:r>
      <w:r>
        <w:rPr>
          <w:rStyle w:val="Strong"/>
          <w:rFonts w:eastAsia="Arial" w:cs="Arial" w:ascii="Arial" w:hAnsi="Arial"/>
          <w:color w:val="000000"/>
          <w:sz w:val="22"/>
          <w:szCs w:val="22"/>
        </w:rPr>
        <w:t>sueldo_dolarizado</w:t>
      </w:r>
      <w:r>
        <w:rPr>
          <w:rFonts w:eastAsia="Arial" w:cs="Arial" w:ascii="Arial" w:hAnsi="Arial"/>
          <w:color w:val="000000"/>
          <w:sz w:val="22"/>
          <w:szCs w:val="22"/>
        </w:rPr>
        <w:t xml:space="preserve"> y </w:t>
      </w:r>
      <w:r>
        <w:rPr>
          <w:rStyle w:val="Strong"/>
          <w:rFonts w:eastAsia="Arial" w:cs="Arial" w:ascii="Arial" w:hAnsi="Arial"/>
          <w:color w:val="000000"/>
          <w:sz w:val="22"/>
          <w:szCs w:val="22"/>
        </w:rPr>
        <w:t>uso_ia</w:t>
      </w:r>
      <w:r>
        <w:rPr>
          <w:rFonts w:eastAsia="Arial" w:cs="Arial" w:ascii="Arial" w:hAnsi="Arial"/>
          <w:color w:val="000000"/>
          <w:sz w:val="22"/>
          <w:szCs w:val="22"/>
        </w:rPr>
        <w:t xml:space="preserve"> no fueron relevadas en las encuestas comprendid</w:t>
      </w:r>
      <w:r>
        <w:rPr>
          <w:rFonts w:eastAsia="Arial" w:cs="Arial" w:ascii="Arial" w:hAnsi="Arial"/>
          <w:color w:val="1F2937"/>
          <w:sz w:val="22"/>
          <w:szCs w:val="22"/>
        </w:rPr>
        <w:t xml:space="preserve">as entre 2019 y 2023, mientras que comienzan a estar disponibles a partir de la edición </w:t>
      </w:r>
      <w:r>
        <w:rPr>
          <w:rStyle w:val="Strong"/>
          <w:rFonts w:eastAsia="Arial" w:cs="Arial" w:ascii="Arial" w:hAnsi="Arial"/>
          <w:color w:val="1F2937"/>
          <w:sz w:val="22"/>
          <w:szCs w:val="22"/>
        </w:rPr>
        <w:t>2024.1</w:t>
      </w:r>
      <w:r>
        <w:rPr>
          <w:rFonts w:eastAsia="Arial" w:cs="Arial" w:ascii="Arial" w:hAnsi="Arial"/>
          <w:color w:val="1F2937"/>
          <w:sz w:val="22"/>
          <w:szCs w:val="22"/>
        </w:rPr>
        <w:t xml:space="preserve">. Por otro lado, la variable </w:t>
      </w:r>
      <w:r>
        <w:rPr>
          <w:rStyle w:val="Strong"/>
          <w:rFonts w:eastAsia="Arial" w:cs="Arial" w:ascii="Arial" w:hAnsi="Arial"/>
          <w:color w:val="1F2937"/>
          <w:sz w:val="22"/>
          <w:szCs w:val="22"/>
        </w:rPr>
        <w:t>modalidad</w:t>
      </w:r>
      <w:r>
        <w:rPr>
          <w:rFonts w:eastAsia="Arial" w:cs="Arial" w:ascii="Arial" w:hAnsi="Arial"/>
          <w:color w:val="1F2937"/>
          <w:sz w:val="22"/>
          <w:szCs w:val="22"/>
        </w:rPr>
        <w:t xml:space="preserve"> aparece recién a partir de la edición </w:t>
      </w:r>
      <w:r>
        <w:rPr>
          <w:rStyle w:val="Strong"/>
          <w:rFonts w:eastAsia="Arial" w:cs="Arial" w:ascii="Arial" w:hAnsi="Arial"/>
          <w:color w:val="1F2937"/>
          <w:sz w:val="22"/>
          <w:szCs w:val="22"/>
        </w:rPr>
        <w:t>2022.2</w:t>
      </w:r>
      <w:r>
        <w:rPr>
          <w:rFonts w:eastAsia="Arial" w:cs="Arial" w:ascii="Arial" w:hAnsi="Arial"/>
          <w:color w:val="1F2937"/>
          <w:sz w:val="22"/>
          <w:szCs w:val="22"/>
        </w:rPr>
        <w:t>.</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Por lo tanto, los valores faltantes responden a cambios en el cuestionario de Sysarmy a lo largo del tiempo y no a errores de carga ni a omisiones de los encuestados.</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Heading1"/>
        <w:keepNext w:val="true"/>
        <w:pBdr>
          <w:bottom w:val="single" w:sz="4" w:space="6" w:color="2563EB"/>
        </w:pBdr>
        <w:bidi w:val="0"/>
        <w:jc w:val="start"/>
        <w:rPr>
          <w:rFonts w:ascii="Arial" w:hAnsi="Arial"/>
        </w:rPr>
      </w:pPr>
      <w:r>
        <w:rPr/>
        <w:t>2. Distribuciones Univariadas</w:t>
      </w:r>
    </w:p>
    <w:p>
      <w:pPr>
        <w:pStyle w:val="Normal"/>
        <w:bidi w:val="0"/>
        <w:spacing w:before="60" w:after="80"/>
        <w:jc w:val="start"/>
        <w:rPr>
          <w:rStyle w:val="Strong"/>
          <w:rFonts w:ascii="Arial" w:hAnsi="Arial" w:eastAsia="Arial" w:cs="Arial"/>
          <w:color w:val="1F2937"/>
          <w:sz w:val="22"/>
          <w:szCs w:val="22"/>
        </w:rPr>
      </w:pPr>
      <w:r>
        <w:rPr>
          <w:rFonts w:eastAsia="Arial" w:cs="Arial" w:ascii="Arial" w:hAnsi="Arial"/>
          <w:color w:val="1F2937"/>
          <w:sz w:val="22"/>
          <w:szCs w:val="22"/>
        </w:rPr>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dataset cuenta con 15.304 observaciones distribuidas en 14 períodos semestrales (2019.1 a 2026.1). El grupo de rol predominante es Data Platform / MLOps con el 50% de las observaciones, seguido por Data Science / AI con el 31%. La distribución de género muestra que el 82% de los encuestados se identifica como hombre, el 14% como mujer y el 4% como no binario, reflejando la composición típica del sector IT en Argentina. El 80% de los encuestados no tiene personas a cargo.</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La mediana de experiencia es de 6 años y la edad mediana es de 34 años. El 75% de los encuestados tiene entre 0 y 13 años de experiencia, lo que indica una población relativamente joven en términos de trayectoria laboral.</w:t>
      </w:r>
    </w:p>
    <w:p>
      <w:pPr>
        <w:pStyle w:val="Normal"/>
        <w:bidi w:val="0"/>
        <w:spacing w:before="60" w:after="80"/>
        <w:jc w:val="start"/>
        <w:rPr>
          <w:rFonts w:ascii="Arial" w:hAnsi="Arial" w:eastAsia="Arial" w:cs="Arial"/>
          <w:color w:val="1F2937"/>
          <w:sz w:val="22"/>
          <w:szCs w:val="22"/>
        </w:rPr>
      </w:pPr>
      <w:r>
        <w:rPr>
          <w:rFonts w:ascii="Arial" w:hAnsi="Arial"/>
        </w:rPr>
      </w:r>
    </w:p>
    <w:p>
      <w:pPr>
        <w:pStyle w:val="Heading1"/>
        <w:pBdr>
          <w:bottom w:val="single" w:sz="4" w:space="6" w:color="2563EB"/>
        </w:pBdr>
        <w:bidi w:val="0"/>
        <w:jc w:val="start"/>
        <w:rPr>
          <w:rFonts w:ascii="Arial" w:hAnsi="Arial"/>
        </w:rPr>
      </w:pPr>
      <w:r>
        <w:rPr/>
        <w:t>3. Variable Objetivo: Salario</w:t>
      </w:r>
    </w:p>
    <w:p>
      <w:pPr>
        <w:pStyle w:val="Normal"/>
        <w:bidi w:val="0"/>
        <w:spacing w:before="60" w:after="80"/>
        <w:jc w:val="start"/>
        <w:rPr>
          <w:rStyle w:val="Strong"/>
          <w:rFonts w:ascii="Arial" w:hAnsi="Arial" w:eastAsia="Arial" w:cs="Arial"/>
          <w:color w:val="1F2937"/>
          <w:sz w:val="22"/>
          <w:szCs w:val="22"/>
        </w:rPr>
      </w:pPr>
      <w:r>
        <w:rPr>
          <w:rFonts w:eastAsia="Arial" w:cs="Arial" w:ascii="Arial" w:hAnsi="Arial"/>
          <w:color w:val="1F2937"/>
          <w:sz w:val="22"/>
          <w:szCs w:val="22"/>
        </w:rPr>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La variable objetivo del análisis es el salario bruto mensual en pesos argentinos, declarado por cada encuestado. Se trata de una variable continua que refleja la remuneración total antes de descuentos impositivos.</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Distribución del salario bruto</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histograma del salario bruto en escala original muestra una distribución fuertemente asimétrica hacia la derecha. La gran mayoría de las observaciones se concentra en valores bajos, mientras que una minoría presenta salarios muy elevados que generan una cola larga. Esta asimetría se confirma al comparar la media ($1.048.318) con la mediana ($270.000): la media casi cuadruplica a la mediana, evidenciando el efecto distorsivo de los valores extremos superiores.</w:t>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Transformación logarítmica</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 xml:space="preserve">Con el objetivo de reducir la asimetría y acercar la distribución a la normalidad requerida por los modelos de regresión lineal, se aplicó una transformación logarítmica sobre el salario bruto, obteniendo la variable </w:t>
      </w:r>
      <w:r>
        <w:rPr>
          <w:rStyle w:val="SourceText"/>
          <w:rFonts w:ascii="Arial" w:hAnsi="Arial"/>
          <w:color w:val="1F2937"/>
          <w:sz w:val="22"/>
          <w:szCs w:val="22"/>
        </w:rPr>
        <w:t>log_sal</w:t>
      </w:r>
      <w:r>
        <w:rPr>
          <w:rFonts w:eastAsia="Arial" w:cs="Arial" w:ascii="Arial" w:hAnsi="Arial"/>
          <w:color w:val="1F2937"/>
          <w:sz w:val="22"/>
          <w:szCs w:val="22"/>
        </w:rPr>
        <w:t>. Tras la transformación, la media (12,74) y la mediana (12,51) resultan considerablemente más próximas entre sí, indicando una distribución más simétrica y adecuada para el modelado.</w:t>
      </w:r>
    </w:p>
    <w:p>
      <w:pPr>
        <w:pStyle w:val="BodyText"/>
        <w:bidi w:val="0"/>
        <w:spacing w:before="60" w:after="80"/>
        <w:jc w:val="start"/>
        <w:rPr/>
      </w:pPr>
      <w:r>
        <w:rPr>
          <w:rStyle w:val="Strong"/>
          <w:rFonts w:eastAsia="Arial" w:cs="Arial" w:ascii="Arial" w:hAnsi="Arial"/>
          <w:color w:val="1F2937"/>
          <w:sz w:val="22"/>
          <w:szCs w:val="22"/>
        </w:rPr>
        <w:t xml:space="preserve">Distribución de log_sal - </w:t>
      </w:r>
      <w:r>
        <w:rPr>
          <w:rStyle w:val="Strong"/>
          <w:rFonts w:eastAsia="Arial" w:cs="Arial" w:ascii="Arial" w:hAnsi="Arial"/>
          <w:color w:val="1F2937"/>
          <w:sz w:val="22"/>
          <w:szCs w:val="22"/>
        </w:rPr>
        <w:t>H</w:t>
      </w:r>
      <w:r>
        <w:rPr>
          <w:rStyle w:val="Strong"/>
          <w:rFonts w:eastAsia="Arial" w:cs="Arial" w:ascii="Arial" w:hAnsi="Arial"/>
          <w:color w:val="1F2937"/>
          <w:sz w:val="22"/>
          <w:szCs w:val="22"/>
        </w:rPr>
        <w:t>allazgo relevante</w:t>
      </w:r>
    </w:p>
    <w:p>
      <w:pPr>
        <w:pStyle w:val="BodyText"/>
        <w:bidi w:val="0"/>
        <w:spacing w:before="60" w:after="80"/>
        <w:jc w:val="start"/>
        <w:rPr/>
      </w:pPr>
      <w:r>
        <w:rPr>
          <w:rFonts w:eastAsia="Arial" w:cs="Arial" w:ascii="Arial" w:hAnsi="Arial"/>
          <w:color w:val="1F2937"/>
          <w:sz w:val="22"/>
          <w:szCs w:val="22"/>
        </w:rPr>
        <w:t xml:space="preserve">El histograma con curva de densidad de </w:t>
      </w:r>
      <w:r>
        <w:rPr>
          <w:rStyle w:val="SourceText"/>
          <w:rFonts w:eastAsia="Arial" w:cs="Arial" w:ascii="Arial" w:hAnsi="Arial"/>
          <w:color w:val="1F2937"/>
          <w:sz w:val="22"/>
          <w:szCs w:val="22"/>
        </w:rPr>
        <w:t>log_sal</w:t>
      </w:r>
      <w:r>
        <w:rPr>
          <w:rFonts w:eastAsia="Arial" w:cs="Arial" w:ascii="Arial" w:hAnsi="Arial"/>
          <w:color w:val="1F2937"/>
          <w:sz w:val="22"/>
          <w:szCs w:val="22"/>
        </w:rPr>
        <w:t xml:space="preserve"> revela una distribución bimodal, con dos picos claramente diferenciados: uno alrededor de log_sal </w:t>
      </w:r>
      <w:r>
        <w:rPr>
          <w:rFonts w:eastAsia="Arial" w:cs="Arial" w:ascii="Arial" w:hAnsi="Arial"/>
          <w:color w:val="1F2937"/>
          <w:sz w:val="22"/>
          <w:szCs w:val="22"/>
        </w:rPr>
        <w:t>~</w:t>
      </w:r>
      <w:r>
        <w:rPr>
          <w:rFonts w:eastAsia="Arial" w:cs="Arial" w:ascii="Arial" w:hAnsi="Arial"/>
          <w:color w:val="1F2937"/>
          <w:sz w:val="22"/>
          <w:szCs w:val="22"/>
        </w:rPr>
        <w:t xml:space="preserve"> 11-12 y otro alrededor de </w:t>
      </w:r>
      <w:r>
        <w:rPr>
          <w:rFonts w:eastAsia="Arial" w:cs="Arial" w:ascii="Arial" w:hAnsi="Arial"/>
          <w:color w:val="1F2937"/>
          <w:sz w:val="22"/>
          <w:szCs w:val="22"/>
        </w:rPr>
        <w:t>~</w:t>
      </w:r>
      <w:r>
        <w:rPr>
          <w:rFonts w:eastAsia="Arial" w:cs="Arial" w:ascii="Arial" w:hAnsi="Arial"/>
          <w:color w:val="1F2937"/>
          <w:sz w:val="22"/>
          <w:szCs w:val="22"/>
        </w:rPr>
        <w:t>14-15. Esta característica sugiere la presencia de dos grupos de encuestados con estructuras salariales distintas, posiblemente asociados a quienes perciben su remuneración en pesos y quienes lo hacen en dólares. Esta hipótesis será explorada en el análisis de variables categóricas.</w:t>
      </w:r>
    </w:p>
    <w:p>
      <w:pPr>
        <w:pStyle w:val="BodyText"/>
        <w:bidi w:val="0"/>
        <w:spacing w:before="60" w:after="80"/>
        <w:jc w:val="start"/>
        <w:rPr/>
      </w:pPr>
      <w:r>
        <w:rPr>
          <w:rStyle w:val="Strong"/>
          <w:rFonts w:eastAsia="Arial" w:cs="Arial" w:ascii="Arial" w:hAnsi="Arial"/>
          <w:color w:val="1F2937"/>
          <w:sz w:val="22"/>
          <w:szCs w:val="22"/>
        </w:rPr>
        <w:t>Boxplot</w:t>
      </w:r>
    </w:p>
    <w:p>
      <w:pPr>
        <w:pStyle w:val="BodyText"/>
        <w:bidi w:val="0"/>
        <w:spacing w:before="60" w:after="80"/>
        <w:jc w:val="start"/>
        <w:rPr/>
      </w:pPr>
      <w:r>
        <w:rPr>
          <w:rFonts w:eastAsia="Arial" w:cs="Arial" w:ascii="Arial" w:hAnsi="Arial"/>
          <w:color w:val="1F2937"/>
          <w:sz w:val="22"/>
          <w:szCs w:val="22"/>
        </w:rPr>
        <w:t xml:space="preserve">El boxplot de </w:t>
      </w:r>
      <w:r>
        <w:rPr>
          <w:rStyle w:val="SourceText"/>
          <w:rFonts w:eastAsia="Arial" w:cs="Arial" w:ascii="Arial" w:hAnsi="Arial"/>
          <w:color w:val="1F2937"/>
          <w:sz w:val="22"/>
          <w:szCs w:val="22"/>
        </w:rPr>
        <w:t>log_sal</w:t>
      </w:r>
      <w:r>
        <w:rPr>
          <w:rFonts w:eastAsia="Arial" w:cs="Arial" w:ascii="Arial" w:hAnsi="Arial"/>
          <w:color w:val="1F2937"/>
          <w:sz w:val="22"/>
          <w:szCs w:val="22"/>
        </w:rPr>
        <w:t xml:space="preserve"> confirma que, tras la transformación, el 50% central de los datos se distribuye entre aproximadamente 11,5 y 14,3. Se observa una cola inferior extendida que corresponde a los salarios más bajos del dataset, mientras que la cola superior es más corta, lo que indica que la transformación logarítmica redujo eficazmente la influencia de los valores extremos superiores.</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Heading1"/>
        <w:keepNext w:val="true"/>
        <w:pBdr>
          <w:bottom w:val="single" w:sz="4" w:space="6" w:color="2563EB"/>
        </w:pBdr>
        <w:bidi w:val="0"/>
        <w:jc w:val="start"/>
        <w:rPr>
          <w:rFonts w:ascii="Arial" w:hAnsi="Arial"/>
        </w:rPr>
      </w:pPr>
      <w:r>
        <w:rPr/>
        <w:t>4. Variables Numericas</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pPr>
      <w:r>
        <w:rPr>
          <w:rFonts w:eastAsia="Arial" w:cs="Arial" w:ascii="Arial" w:hAnsi="Arial"/>
          <w:color w:val="1F2937"/>
          <w:sz w:val="22"/>
          <w:szCs w:val="22"/>
        </w:rPr>
        <w:t>Se analizó la relación entre las principales variables numéricas del dataset y el logaritmo del salario bruto (</w:t>
      </w:r>
      <w:r>
        <w:rPr>
          <w:rStyle w:val="SourceText"/>
          <w:rFonts w:eastAsia="Arial" w:cs="Arial" w:ascii="Arial" w:hAnsi="Arial"/>
          <w:color w:val="1F2937"/>
          <w:sz w:val="22"/>
          <w:szCs w:val="22"/>
        </w:rPr>
        <w:t>log_sal</w:t>
      </w:r>
      <w:r>
        <w:rPr>
          <w:rFonts w:eastAsia="Arial" w:cs="Arial" w:ascii="Arial" w:hAnsi="Arial"/>
          <w:color w:val="1F2937"/>
          <w:sz w:val="22"/>
          <w:szCs w:val="22"/>
        </w:rPr>
        <w:t>), utilizando gráficos de dispersión con ajuste lineal e intervalos de confianza al 95%.</w:t>
      </w:r>
    </w:p>
    <w:p>
      <w:pPr>
        <w:pStyle w:val="BodyText"/>
        <w:bidi w:val="0"/>
        <w:spacing w:before="60" w:after="80"/>
        <w:jc w:val="start"/>
        <w:rPr>
          <w:rStyle w:val="Strong"/>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Experiencia</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 xml:space="preserve">Se observa una relación positiva entre los años de experiencia y el salario, aunque </w:t>
      </w:r>
      <w:r>
        <w:rPr>
          <w:rFonts w:eastAsia="Arial" w:cs="Arial" w:ascii="Arial" w:hAnsi="Arial"/>
          <w:color w:val="1F2937"/>
          <w:sz w:val="22"/>
          <w:szCs w:val="22"/>
        </w:rPr>
        <w:t>con una leve pendiente</w:t>
      </w:r>
      <w:r>
        <w:rPr>
          <w:rFonts w:eastAsia="Arial" w:cs="Arial" w:ascii="Arial" w:hAnsi="Arial"/>
          <w:color w:val="1F2937"/>
          <w:sz w:val="22"/>
          <w:szCs w:val="22"/>
        </w:rPr>
        <w:t>. La nube de puntos presenta una dispersión vertical considerable en todos los niveles de experiencia, lo que indica</w:t>
      </w:r>
      <w:r>
        <w:rPr>
          <w:rFonts w:eastAsia="Arial" w:cs="Arial" w:ascii="Arial" w:hAnsi="Arial"/>
          <w:color w:val="1F2937"/>
          <w:sz w:val="22"/>
          <w:szCs w:val="22"/>
        </w:rPr>
        <w:t>ria</w:t>
      </w:r>
      <w:r>
        <w:rPr>
          <w:rFonts w:eastAsia="Arial" w:cs="Arial" w:ascii="Arial" w:hAnsi="Arial"/>
          <w:color w:val="1F2937"/>
          <w:sz w:val="22"/>
          <w:szCs w:val="22"/>
        </w:rPr>
        <w:t xml:space="preserve"> que la experiencia por sí sola no determina el salario. La mayoría de las observaciones se concentra entre 0 y 20 años, con </w:t>
      </w:r>
      <w:r>
        <w:rPr>
          <w:rFonts w:eastAsia="Arial" w:cs="Arial" w:ascii="Arial" w:hAnsi="Arial"/>
          <w:color w:val="1F2937"/>
          <w:sz w:val="22"/>
          <w:szCs w:val="22"/>
        </w:rPr>
        <w:t xml:space="preserve">muy </w:t>
      </w:r>
      <w:r>
        <w:rPr>
          <w:rFonts w:eastAsia="Arial" w:cs="Arial" w:ascii="Arial" w:hAnsi="Arial"/>
          <w:color w:val="1F2937"/>
          <w:sz w:val="22"/>
          <w:szCs w:val="22"/>
        </w:rPr>
        <w:t>pocos casos por encima de 40 años que no siguen una tendencia clara. Esto sugiere que la experiencia es una variable relevante pero insuficiente para explicar las diferencias salariales de forma aislada.</w:t>
      </w:r>
    </w:p>
    <w:p>
      <w:pPr>
        <w:pStyle w:val="BodyText"/>
        <w:bidi w:val="0"/>
        <w:spacing w:before="60" w:after="80"/>
        <w:jc w:val="start"/>
        <w:rPr>
          <w:rStyle w:val="Strong"/>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Edad</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 xml:space="preserve">La relación entre edad y salario muestra una tendencia positiva similar a la de experiencia, lo cual es esperable dado que ambas variables están correlacionadas. Sin embargo, la dispersión es aún mayor: personas de similar edad presentan rangos salariales muy amplios. </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w:t>
      </w:r>
      <w:r>
        <w:rPr>
          <w:rFonts w:eastAsia="Arial" w:cs="Arial" w:ascii="Arial" w:hAnsi="Arial"/>
          <w:color w:val="1F2937"/>
          <w:sz w:val="22"/>
          <w:szCs w:val="22"/>
        </w:rPr>
        <w:t xml:space="preserve">xperiencia </w:t>
      </w:r>
      <w:r>
        <w:rPr>
          <w:rFonts w:eastAsia="Arial" w:cs="Arial" w:ascii="Arial" w:hAnsi="Arial"/>
          <w:color w:val="1F2937"/>
          <w:sz w:val="22"/>
          <w:szCs w:val="22"/>
        </w:rPr>
        <w:t xml:space="preserve">y edad </w:t>
      </w:r>
      <w:r>
        <w:rPr>
          <w:rFonts w:eastAsia="Arial" w:cs="Arial" w:ascii="Arial" w:hAnsi="Arial"/>
          <w:color w:val="1F2937"/>
          <w:sz w:val="22"/>
          <w:szCs w:val="22"/>
        </w:rPr>
        <w:t xml:space="preserve">están muy correlacionadas entre sí, cuando </w:t>
      </w:r>
      <w:r>
        <w:rPr>
          <w:rFonts w:eastAsia="Arial" w:cs="Arial" w:ascii="Arial" w:hAnsi="Arial"/>
          <w:color w:val="1F2937"/>
          <w:sz w:val="22"/>
          <w:szCs w:val="22"/>
        </w:rPr>
        <w:t>conviven</w:t>
      </w:r>
      <w:r>
        <w:rPr>
          <w:rFonts w:eastAsia="Arial" w:cs="Arial" w:ascii="Arial" w:hAnsi="Arial"/>
          <w:color w:val="1F2937"/>
          <w:sz w:val="22"/>
          <w:szCs w:val="22"/>
        </w:rPr>
        <w:t xml:space="preserve"> en un model</w:t>
      </w:r>
      <w:r>
        <w:rPr>
          <w:rFonts w:eastAsia="Arial" w:cs="Arial" w:ascii="Arial" w:hAnsi="Arial"/>
          <w:color w:val="1F2937"/>
          <w:sz w:val="22"/>
          <w:szCs w:val="22"/>
        </w:rPr>
        <w:t>ado</w:t>
      </w:r>
      <w:r>
        <w:rPr>
          <w:rFonts w:eastAsia="Arial" w:cs="Arial" w:ascii="Arial" w:hAnsi="Arial"/>
          <w:color w:val="1F2937"/>
          <w:sz w:val="22"/>
          <w:szCs w:val="22"/>
        </w:rPr>
        <w:t xml:space="preserve">, el modelo no sabe bien </w:t>
      </w:r>
      <w:r>
        <w:rPr>
          <w:rStyle w:val="Strong"/>
          <w:rFonts w:eastAsia="Arial" w:cs="Arial" w:ascii="Arial" w:hAnsi="Arial"/>
          <w:color w:val="1F2937"/>
          <w:sz w:val="22"/>
          <w:szCs w:val="22"/>
        </w:rPr>
        <w:t>a cuál de las dos atribuirle</w:t>
      </w:r>
      <w:r>
        <w:rPr>
          <w:rFonts w:eastAsia="Arial" w:cs="Arial" w:ascii="Arial" w:hAnsi="Arial"/>
          <w:color w:val="1F2937"/>
          <w:sz w:val="22"/>
          <w:szCs w:val="22"/>
        </w:rPr>
        <w:t xml:space="preserve"> el efecto sobre el salario. Las dos están diciendo casi lo mismo, </w:t>
      </w:r>
      <w:r>
        <w:rPr>
          <w:rFonts w:eastAsia="Arial" w:cs="Arial" w:ascii="Arial" w:hAnsi="Arial"/>
          <w:color w:val="1F2937"/>
          <w:sz w:val="22"/>
          <w:szCs w:val="22"/>
        </w:rPr>
        <w:t xml:space="preserve">esto se llama </w:t>
      </w:r>
      <w:r>
        <w:rPr>
          <w:rFonts w:eastAsia="Arial" w:cs="Arial" w:ascii="Arial" w:hAnsi="Arial"/>
          <w:b/>
          <w:bCs/>
          <w:color w:val="1F2937"/>
          <w:sz w:val="22"/>
          <w:szCs w:val="22"/>
        </w:rPr>
        <w:t>multicolinealidad</w:t>
      </w:r>
      <w:r>
        <w:rPr>
          <w:rFonts w:eastAsia="Arial" w:cs="Arial" w:ascii="Arial" w:hAnsi="Arial"/>
          <w:color w:val="1F2937"/>
          <w:sz w:val="22"/>
          <w:szCs w:val="22"/>
        </w:rPr>
        <w:t>.</w:t>
        <w:br/>
        <w:t>Algo a tener en cuenta a la hroa de modelar.</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Personas a cargo</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gráfico de dispersión muestra que el 80% de las observaciones se concentra</w:t>
      </w:r>
      <w:r>
        <w:rPr>
          <w:rFonts w:eastAsia="Arial" w:cs="Arial" w:ascii="Arial" w:hAnsi="Arial"/>
          <w:color w:val="1F2937"/>
          <w:sz w:val="22"/>
          <w:szCs w:val="22"/>
        </w:rPr>
        <w:t>n</w:t>
      </w:r>
      <w:r>
        <w:rPr>
          <w:rFonts w:eastAsia="Arial" w:cs="Arial" w:ascii="Arial" w:hAnsi="Arial"/>
          <w:color w:val="1F2937"/>
          <w:sz w:val="22"/>
          <w:szCs w:val="22"/>
        </w:rPr>
        <w:t xml:space="preserve"> en x=0 (sin personas a cargo), lo que limita la capacidad del ajuste lineal para capturar una tendencia real. El intervalo de confianza se amplía considerablemente a medida que aumenta la cantidad de personas a cargo, reflejando la escasez de observaciones en esos rangos.</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boxplot por grupos resulta más informativo: quienes lideran equipos grandes presentan la mediana salarial más alta, aunque también la mayor dispersión. Llamativamente, las medianas de los grupos "Sin equipo", "Equipo pequeño" y "Equipo mediano" son similares entre sí, lo que sugiere que la relación entre liderazgo y salario no es lineal y podría estar mediada por otras variables como el seniority o el grupo de rol.</w:t>
      </w:r>
    </w:p>
    <w:p>
      <w:pPr>
        <w:pStyle w:val="BodyText"/>
        <w:widowControl/>
        <w:suppressAutoHyphens w:val="true"/>
        <w:bidi w:val="0"/>
        <w:spacing w:before="60" w:after="80"/>
        <w:jc w:val="start"/>
        <w:rPr>
          <w:rFonts w:ascii="Arial" w:hAnsi="Arial" w:eastAsia="Arial" w:cs="Arial"/>
          <w:color w:val="1F2937"/>
          <w:kern w:val="2"/>
          <w:sz w:val="22"/>
          <w:szCs w:val="22"/>
          <w:lang w:val="es-AR" w:eastAsia="zh-CN" w:bidi="hi-IN"/>
        </w:rPr>
      </w:pPr>
      <w:r>
        <w:rPr>
          <w:rFonts w:eastAsia="Arial" w:cs="Arial" w:ascii="Arial" w:hAnsi="Arial"/>
          <w:color w:val="1F2937"/>
          <w:kern w:val="2"/>
          <w:sz w:val="22"/>
          <w:szCs w:val="22"/>
          <w:lang w:val="es-AR" w:eastAsia="zh-CN" w:bidi="hi-IN"/>
        </w:rPr>
      </w:r>
    </w:p>
    <w:p>
      <w:pPr>
        <w:pStyle w:val="BodyText"/>
        <w:widowControl/>
        <w:suppressAutoHyphens w:val="true"/>
        <w:bidi w:val="0"/>
        <w:spacing w:before="60" w:after="80"/>
        <w:jc w:val="start"/>
        <w:rPr>
          <w:rFonts w:ascii="Arial" w:hAnsi="Arial" w:eastAsia="Arial" w:cs="Arial"/>
          <w:color w:val="1F2937"/>
          <w:kern w:val="2"/>
          <w:sz w:val="22"/>
          <w:szCs w:val="22"/>
          <w:lang w:val="es-AR" w:eastAsia="zh-CN" w:bidi="hi-IN"/>
        </w:rPr>
      </w:pPr>
      <w:r>
        <w:rPr>
          <w:rFonts w:eastAsia="Arial" w:cs="Arial" w:ascii="Arial" w:hAnsi="Arial"/>
          <w:color w:val="1F2937"/>
          <w:kern w:val="2"/>
          <w:sz w:val="22"/>
          <w:szCs w:val="22"/>
          <w:lang w:val="es-AR" w:eastAsia="zh-CN" w:bidi="hi-IN"/>
        </w:rPr>
        <w:t>En conjunto, las variables numéricas muestran relaciones positivas con el salario pero con alta dispersión individual, lo que indica que ninguna de ellas determina el salario de forma aislada. Se destaca que edad y experiencia presentan patrones similares, lo que sugiere una posible correlación entre ambas. Para evitar problemas de multicolinealidad en el modelado, se evaluará incluir solo una de las dos variables. En cualquier caso, el poder explicativo de estas variables mejorará al incorporarlas junto a variables categóricas como seniority, grupo de rol y dolarización en el modelo de regresión.</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Heading1"/>
        <w:keepNext w:val="true"/>
        <w:pBdr>
          <w:bottom w:val="single" w:sz="4" w:space="6" w:color="2563EB"/>
        </w:pBdr>
        <w:bidi w:val="0"/>
        <w:jc w:val="start"/>
        <w:rPr>
          <w:rFonts w:ascii="Arial" w:hAnsi="Arial"/>
        </w:rPr>
      </w:pPr>
      <w:r>
        <w:rPr/>
        <w:t>5. Variables Categoricas</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pPr>
      <w:r>
        <w:rPr>
          <w:rStyle w:val="Strong"/>
          <w:rFonts w:eastAsia="Arial" w:cs="Arial" w:ascii="Arial" w:hAnsi="Arial"/>
          <w:color w:val="1F2937"/>
          <w:sz w:val="22"/>
          <w:szCs w:val="22"/>
        </w:rPr>
        <w:t>Seniority</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seniority es la variable categórica con mayor poder discriminante sobre el salario. Se observa una separación clara y progresiva entre las tres categorías: la mediana del logaritmo salarial aumenta de Junior (~14,</w:t>
      </w:r>
      <w:r>
        <w:rPr>
          <w:rFonts w:eastAsia="Arial" w:cs="Arial" w:ascii="Arial" w:hAnsi="Arial"/>
          <w:color w:val="1F2937"/>
          <w:sz w:val="22"/>
          <w:szCs w:val="22"/>
        </w:rPr>
        <w:t>2</w:t>
      </w:r>
      <w:r>
        <w:rPr>
          <w:rFonts w:eastAsia="Arial" w:cs="Arial" w:ascii="Arial" w:hAnsi="Arial"/>
          <w:color w:val="1F2937"/>
          <w:sz w:val="22"/>
          <w:szCs w:val="22"/>
        </w:rPr>
        <w:t>) a Semi-Senior (~14,</w:t>
      </w:r>
      <w:r>
        <w:rPr>
          <w:rFonts w:eastAsia="Arial" w:cs="Arial" w:ascii="Arial" w:hAnsi="Arial"/>
          <w:color w:val="1F2937"/>
          <w:sz w:val="22"/>
          <w:szCs w:val="22"/>
        </w:rPr>
        <w:t>6</w:t>
      </w:r>
      <w:r>
        <w:rPr>
          <w:rFonts w:eastAsia="Arial" w:cs="Arial" w:ascii="Arial" w:hAnsi="Arial"/>
          <w:color w:val="1F2937"/>
          <w:sz w:val="22"/>
          <w:szCs w:val="22"/>
        </w:rPr>
        <w:t>) y a Senior (~</w:t>
      </w:r>
      <w:r>
        <w:rPr>
          <w:rFonts w:eastAsia="Arial" w:cs="Arial" w:ascii="Arial" w:hAnsi="Arial"/>
          <w:color w:val="1F2937"/>
          <w:sz w:val="22"/>
          <w:szCs w:val="22"/>
        </w:rPr>
        <w:t>14,9</w:t>
      </w:r>
      <w:r>
        <w:rPr>
          <w:rFonts w:eastAsia="Arial" w:cs="Arial" w:ascii="Arial" w:hAnsi="Arial"/>
          <w:color w:val="1F2937"/>
          <w:sz w:val="22"/>
          <w:szCs w:val="22"/>
        </w:rPr>
        <w:t>), con escasa superposición entre las cajas. Las diferencias son consistentes y las distribuciones de cada nivel son relativamente compactas en su rango intercuartílico. Este patrón sugiere que el seniority será una de las variables más relevantes en el modelo de regresión. Cabe recordar que esta variable solo está disponible para los períodos 2024-2026, por lo que el análisis se restringe a 5.091 observaciones.</w:t>
      </w:r>
    </w:p>
    <w:p>
      <w:pPr>
        <w:pStyle w:val="BodyText"/>
        <w:bidi w:val="0"/>
        <w:spacing w:before="60" w:after="80"/>
        <w:jc w:val="start"/>
        <w:rPr/>
      </w:pPr>
      <w:r>
        <w:rPr>
          <w:rStyle w:val="Strong"/>
          <w:rFonts w:eastAsia="Arial" w:cs="Arial" w:ascii="Arial" w:hAnsi="Arial"/>
          <w:color w:val="1F2937"/>
          <w:sz w:val="22"/>
          <w:szCs w:val="22"/>
        </w:rPr>
        <w:t>Modalidad de trabajo</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Las tres modalidades de trabajo presentan medianas salariales muy similares entre sí, sin una diferencia clara y consistente. El trabajo remoto e híbrido muestran distribuciones prácticamente equivalentes, mientras que el trabajo presencial presenta una mediana levemente inferior y una dispersión algo menor. Este hallazgo es contrario a la intuición de que el trabajo remoto estaría asociado a salarios más altos, y sugiere que la modalidad no sería un determinante relevante del salario en este sector, o que su efecto está mediado por otras variables como el rol o la dolarización.</w:t>
      </w:r>
    </w:p>
    <w:p>
      <w:pPr>
        <w:pStyle w:val="BodyText"/>
        <w:bidi w:val="0"/>
        <w:spacing w:before="60" w:after="80"/>
        <w:jc w:val="start"/>
        <w:rPr>
          <w:rStyle w:val="Strong"/>
          <w:rFonts w:ascii="Arial" w:hAnsi="Arial" w:eastAsia="Arial" w:cs="Arial"/>
          <w:color w:val="1F2937"/>
          <w:sz w:val="22"/>
          <w:szCs w:val="22"/>
        </w:rPr>
      </w:pPr>
      <w:r>
        <w:rPr/>
      </w:r>
    </w:p>
    <w:p>
      <w:pPr>
        <w:pStyle w:val="BodyText"/>
        <w:bidi w:val="0"/>
        <w:spacing w:before="60" w:after="80"/>
        <w:jc w:val="start"/>
        <w:rPr>
          <w:rStyle w:val="Strong"/>
          <w:rFonts w:ascii="Arial" w:hAnsi="Arial" w:eastAsia="Arial" w:cs="Arial"/>
          <w:color w:val="1F2937"/>
          <w:sz w:val="22"/>
          <w:szCs w:val="22"/>
        </w:rPr>
      </w:pPr>
      <w:r>
        <w:rPr/>
      </w:r>
    </w:p>
    <w:p>
      <w:pPr>
        <w:pStyle w:val="BodyText"/>
        <w:bidi w:val="0"/>
        <w:spacing w:before="60" w:after="80"/>
        <w:jc w:val="start"/>
        <w:rPr/>
      </w:pPr>
      <w:r>
        <w:rPr>
          <w:rStyle w:val="Strong"/>
          <w:rFonts w:eastAsia="Arial" w:cs="Arial" w:ascii="Arial" w:hAnsi="Arial"/>
          <w:color w:val="1F2937"/>
          <w:sz w:val="22"/>
          <w:szCs w:val="22"/>
        </w:rPr>
        <w:t>Dolarización del sueldo</w:t>
      </w:r>
    </w:p>
    <w:p>
      <w:pPr>
        <w:pStyle w:val="BodyText"/>
        <w:bidi w:val="0"/>
        <w:spacing w:before="60" w:after="80"/>
        <w:jc w:val="start"/>
        <w:rPr/>
      </w:pPr>
      <w:r>
        <w:rPr>
          <w:rFonts w:eastAsia="Arial" w:cs="Arial" w:ascii="Arial" w:hAnsi="Arial"/>
          <w:color w:val="1F2937"/>
          <w:sz w:val="22"/>
          <w:szCs w:val="22"/>
        </w:rPr>
        <w:t xml:space="preserve">La dolarización del sueldo muestra la diferencia salarial más pronunciada de todas las variables categóricas analizadas. Los encuestados que perciben su remuneración en dólares </w:t>
      </w:r>
      <w:r>
        <w:rPr/>
        <w:t>presentan una mediana de log_sal de 14,9 (equivalente a $2.916.000 brutos) respecto a 14,6 de quienes cobran en pesos ($2.180.000), lo que representa una diferencia del 34% en términos de salario bruto mensual</w:t>
      </w:r>
      <w:r>
        <w:rPr>
          <w:rFonts w:eastAsia="Arial" w:cs="Arial" w:ascii="Arial" w:hAnsi="Arial"/>
          <w:color w:val="1F2937"/>
          <w:sz w:val="22"/>
          <w:szCs w:val="22"/>
        </w:rPr>
        <w:t xml:space="preserve">, con menor dispersión en el rango intercuartíl. Este hallazgo conecta directamente con la distribución bimodal observada en </w:t>
      </w:r>
      <w:r>
        <w:rPr>
          <w:rStyle w:val="SourceText"/>
          <w:rFonts w:eastAsia="Arial" w:cs="Arial" w:ascii="Arial" w:hAnsi="Arial"/>
          <w:color w:val="1F2937"/>
          <w:sz w:val="22"/>
          <w:szCs w:val="22"/>
        </w:rPr>
        <w:t>log_sal</w:t>
      </w:r>
      <w:r>
        <w:rPr>
          <w:rFonts w:eastAsia="Arial" w:cs="Arial" w:ascii="Arial" w:hAnsi="Arial"/>
          <w:color w:val="1F2937"/>
          <w:sz w:val="22"/>
          <w:szCs w:val="22"/>
        </w:rPr>
        <w:t xml:space="preserve"> en la sección 3, donde los dos picos podrían corresponder precisamente a estos dos grupos.</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gráfico de dispersión por experiencia confirma que la brecha salarial entre dolarizados y no dolarizados se mantiene en todos los niveles de experiencia. Ambos grupos muestran una tendencia positiva con la experiencia, pero los dolarizados parten de una base consistentemente más alta y la mantienen a lo largo de toda la trayectoria laboral.</w:t>
      </w:r>
    </w:p>
    <w:p>
      <w:pPr>
        <w:pStyle w:val="BodyText"/>
        <w:bidi w:val="0"/>
        <w:spacing w:before="60" w:after="80"/>
        <w:jc w:val="start"/>
        <w:rPr/>
      </w:pPr>
      <w:r>
        <w:rPr>
          <w:rStyle w:val="Strong"/>
          <w:rFonts w:eastAsia="Arial" w:cs="Arial" w:ascii="Arial" w:hAnsi="Arial"/>
          <w:color w:val="1F2937"/>
          <w:sz w:val="22"/>
          <w:szCs w:val="22"/>
        </w:rPr>
        <w:t>Tamaño de la organización</w:t>
      </w:r>
    </w:p>
    <w:p>
      <w:pPr>
        <w:pStyle w:val="BodyText"/>
        <w:bidi w:val="0"/>
        <w:spacing w:before="60" w:after="80"/>
        <w:jc w:val="start"/>
        <w:rPr/>
      </w:pPr>
      <w:r>
        <w:rPr>
          <w:rFonts w:eastAsia="Arial" w:cs="Arial" w:ascii="Arial" w:hAnsi="Arial"/>
          <w:color w:val="1F2937"/>
          <w:sz w:val="22"/>
          <w:szCs w:val="22"/>
        </w:rPr>
        <w:t>El tamaño de la organización no muestra una relación clara y consistente con el salario. Las medianas salariales son notablemente similares entre empresas de todos los tamaños, desde organizaciones unipersonales hasta corporaciones de más de 10.000 personas. Esto sugiere que el tamaño de la empresa no aportaría poder explicativo relevante al modelo de regresión.</w:t>
      </w:r>
    </w:p>
    <w:p>
      <w:pPr>
        <w:pStyle w:val="BodyText"/>
        <w:bidi w:val="0"/>
        <w:spacing w:before="60" w:after="80"/>
        <w:jc w:val="start"/>
        <w:rPr/>
      </w:pPr>
      <w:r>
        <w:rPr>
          <w:rStyle w:val="Strong"/>
          <w:rFonts w:eastAsia="Arial" w:cs="Arial" w:ascii="Arial" w:hAnsi="Arial"/>
          <w:color w:val="1F2937"/>
          <w:sz w:val="22"/>
          <w:szCs w:val="22"/>
        </w:rPr>
        <w:t>Personas a cargo</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Los encuestados que lideran equipos grandes presentan la mediana salarial más alta, aunque también la mayor dispersión. Sin embargo, las diferencias entre "Sin equipo", "Equipo pequeño" y "Equipo mediano" son menores de lo esperado, lo que sugiere que la relación entre liderazgo de equipos y salario no es lineal y podría estar mediada por el seniority o el grupo de rol.</w:t>
      </w:r>
    </w:p>
    <w:p>
      <w:pPr>
        <w:pStyle w:val="BodyText"/>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Heading1"/>
        <w:keepNext w:val="true"/>
        <w:pBdr>
          <w:bottom w:val="single" w:sz="4" w:space="6" w:color="2563EB"/>
        </w:pBdr>
        <w:bidi w:val="0"/>
        <w:jc w:val="start"/>
        <w:rPr>
          <w:rFonts w:ascii="Arial" w:hAnsi="Arial"/>
        </w:rPr>
      </w:pPr>
      <w:r>
        <w:rPr/>
        <w:t>6. Variables Confundidoras - Género y Seniority</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t>El análisis de la variable género requiere especial cuidado metodológico debido a la presencia de variables confundidoras. Se presentan tres gráficos en secuencia para ilustrar este fenómeno.</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Distribución salarial según género — sin controlar</w:t>
      </w:r>
    </w:p>
    <w:p>
      <w:pPr>
        <w:pStyle w:val="BodyText"/>
        <w:spacing w:before="60" w:after="80"/>
        <w:rPr>
          <w:rFonts w:ascii="Arial" w:hAnsi="Arial" w:eastAsia="Arial" w:cs="Arial"/>
          <w:color w:val="1F2937"/>
          <w:sz w:val="22"/>
          <w:szCs w:val="22"/>
        </w:rPr>
      </w:pPr>
      <w:r>
        <w:rPr>
          <w:rFonts w:eastAsia="Arial" w:cs="Arial" w:ascii="Arial" w:hAnsi="Arial"/>
          <w:color w:val="1F2937"/>
          <w:sz w:val="22"/>
          <w:szCs w:val="22"/>
        </w:rPr>
        <w:t>Al comparar las distribuciones salariales por género sin incorporar otras variables, se observa que las mujeres presentan una mediana salarial levemente superior a la de los hombres, mientras que la categoría Otro/No binarie muestra una mediana algo inferior. Esta observación podría llevar a conclusiones erróneas sobre la ausencia de brecha salarial de género en el sector.</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Distribución salarial según género y seniority — controlando la confundidora</w:t>
      </w:r>
    </w:p>
    <w:p>
      <w:pPr>
        <w:pStyle w:val="BodyText"/>
        <w:spacing w:before="60" w:after="80"/>
        <w:rPr>
          <w:rFonts w:ascii="Arial" w:hAnsi="Arial" w:eastAsia="Arial" w:cs="Arial"/>
          <w:color w:val="1F2937"/>
          <w:sz w:val="22"/>
          <w:szCs w:val="22"/>
        </w:rPr>
      </w:pPr>
      <w:r>
        <w:rPr>
          <w:rFonts w:eastAsia="Arial" w:cs="Arial" w:ascii="Arial" w:hAnsi="Arial"/>
          <w:color w:val="1F2937"/>
          <w:sz w:val="22"/>
          <w:szCs w:val="22"/>
        </w:rPr>
        <w:t>Al incorporar el seniority como variable de control, el panorama cambia. Dentro de cada nivel de seniority, las distribuciones salariales de hombres y mujeres son muy similares entre sí. La diferencia observada en el gráfico anterior no refleja una ventaja salarial real de las mujeres, sino que está mediada por la composición de seniority dentro de cada grupo de género.</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bidi w:val="0"/>
        <w:spacing w:before="60" w:after="80"/>
        <w:jc w:val="start"/>
        <w:rPr>
          <w:rFonts w:ascii="Arial" w:hAnsi="Arial" w:eastAsia="Arial" w:cs="Arial"/>
          <w:color w:val="1F2937"/>
          <w:sz w:val="22"/>
          <w:szCs w:val="22"/>
        </w:rPr>
      </w:pPr>
      <w:r>
        <w:rPr/>
      </w:r>
    </w:p>
    <w:p>
      <w:pPr>
        <w:pStyle w:val="BodyText"/>
        <w:bidi w:val="0"/>
        <w:spacing w:before="60" w:after="80"/>
        <w:jc w:val="start"/>
        <w:rPr>
          <w:rFonts w:ascii="Arial" w:hAnsi="Arial" w:eastAsia="Arial" w:cs="Arial"/>
          <w:color w:val="1F2937"/>
          <w:sz w:val="22"/>
          <w:szCs w:val="22"/>
        </w:rPr>
      </w:pPr>
      <w:r>
        <w:rPr/>
      </w:r>
    </w:p>
    <w:p>
      <w:pPr>
        <w:pStyle w:val="BodyText"/>
        <w:bidi w:val="0"/>
        <w:spacing w:before="60" w:after="80"/>
        <w:jc w:val="start"/>
        <w:rPr>
          <w:rFonts w:ascii="Arial" w:hAnsi="Arial" w:eastAsia="Arial" w:cs="Arial"/>
          <w:color w:val="1F2937"/>
          <w:sz w:val="22"/>
          <w:szCs w:val="22"/>
        </w:rPr>
      </w:pPr>
      <w:r>
        <w:rPr>
          <w:rStyle w:val="Strong"/>
          <w:rFonts w:eastAsia="Arial" w:cs="Arial" w:ascii="Arial" w:hAnsi="Arial"/>
          <w:color w:val="1F2937"/>
          <w:sz w:val="22"/>
          <w:szCs w:val="22"/>
        </w:rPr>
        <w:t>Proporción de seniority según género — explicando la confusión</w:t>
      </w:r>
    </w:p>
    <w:p>
      <w:pPr>
        <w:pStyle w:val="BodyText"/>
        <w:spacing w:before="60" w:after="80"/>
        <w:rPr>
          <w:rFonts w:ascii="Arial" w:hAnsi="Arial" w:eastAsia="Arial" w:cs="Arial"/>
          <w:color w:val="1F2937"/>
          <w:sz w:val="22"/>
          <w:szCs w:val="22"/>
        </w:rPr>
      </w:pPr>
      <w:r>
        <w:rPr>
          <w:rFonts w:eastAsia="Arial" w:cs="Arial" w:ascii="Arial" w:hAnsi="Arial"/>
          <w:color w:val="1F2937"/>
          <w:sz w:val="22"/>
          <w:szCs w:val="22"/>
        </w:rPr>
        <w:t>El gráfico de proporciones revela el mecanismo detrás de la confusión: los hombres tienen una proporción de Senior notablemente mayor (~50%) que las mujeres (~30%), mientras que las mujeres están más representadas en los niveles Semi-Senior y Junior. Dado que el seniority tiene un efecto positivo claro sobre el salario, esta diferencia en la composición explica por qué las medianas brutas por género no reflejan fielmente las diferencias salariales reales.</w:t>
      </w:r>
    </w:p>
    <w:p>
      <w:pPr>
        <w:pStyle w:val="BodyText"/>
        <w:spacing w:before="60" w:after="80"/>
        <w:rPr>
          <w:rFonts w:ascii="Arial" w:hAnsi="Arial" w:eastAsia="Arial" w:cs="Arial"/>
          <w:color w:val="1F2937"/>
          <w:sz w:val="22"/>
          <w:szCs w:val="22"/>
        </w:rPr>
      </w:pPr>
      <w:r>
        <w:rPr>
          <w:rStyle w:val="Strong"/>
          <w:rFonts w:eastAsia="Arial" w:cs="Arial" w:ascii="Arial" w:hAnsi="Arial"/>
          <w:color w:val="1F2937"/>
          <w:sz w:val="22"/>
          <w:szCs w:val="22"/>
        </w:rPr>
        <w:t>Conclusión</w:t>
      </w:r>
    </w:p>
    <w:p>
      <w:pPr>
        <w:pStyle w:val="BodyText"/>
        <w:spacing w:before="60" w:after="80"/>
        <w:rPr>
          <w:rFonts w:ascii="Arial" w:hAnsi="Arial" w:eastAsia="Arial" w:cs="Arial"/>
          <w:color w:val="1F2937"/>
          <w:sz w:val="22"/>
          <w:szCs w:val="22"/>
        </w:rPr>
      </w:pPr>
      <w:r>
        <w:rPr>
          <w:rFonts w:eastAsia="Arial" w:cs="Arial" w:ascii="Arial" w:hAnsi="Arial"/>
          <w:color w:val="1F2937"/>
          <w:sz w:val="22"/>
          <w:szCs w:val="22"/>
        </w:rPr>
        <w:t>Este análisis ilustra la importancia de no sacar conclusiones apresuradas a partir de comparaciones simples. Sin controlar por seniority, el gráfico sugería que no existe brecha salarial de género o incluso que las mujeres ganan levemente más. Sin embargo, al incorporar seniority como variable de control, las diferencias entre géneros se reducen notablemente. La causa subyacente es la distinta composición de seniority entre géneros: los hombres concentran una mayor proporción de perfiles Senior, que son los de mayor remuneración. Esta distinción será considerada en el modelado, donde género y seniority serán incorporados simultáneamente.</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Heading1"/>
        <w:keepNext w:val="true"/>
        <w:pBdr>
          <w:bottom w:val="single" w:sz="4" w:space="6" w:color="2563EB"/>
        </w:pBdr>
        <w:bidi w:val="0"/>
        <w:jc w:val="start"/>
        <w:rPr>
          <w:rFonts w:ascii="Arial" w:hAnsi="Arial"/>
        </w:rPr>
      </w:pPr>
      <w:r>
        <w:rPr/>
        <w:t>7. Region y Roles</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widowControl/>
        <w:suppressAutoHyphens w:val="true"/>
        <w:bidi w:val="0"/>
        <w:spacing w:before="60" w:after="80"/>
        <w:jc w:val="start"/>
        <w:rPr/>
      </w:pPr>
      <w:r>
        <w:rPr>
          <w:rStyle w:val="Strong"/>
          <w:rFonts w:eastAsia="Arial" w:cs="Arial" w:ascii="Arial" w:hAnsi="Arial"/>
          <w:color w:val="1F2937"/>
          <w:kern w:val="2"/>
          <w:sz w:val="22"/>
          <w:szCs w:val="22"/>
          <w:lang w:val="es-AR" w:eastAsia="zh-CN" w:bidi="hi-IN"/>
        </w:rPr>
        <w:t>Distribución salarial según región</w:t>
      </w:r>
    </w:p>
    <w:p>
      <w:pPr>
        <w:pStyle w:val="BodyText"/>
        <w:widowControl/>
        <w:suppressAutoHyphens w:val="true"/>
        <w:bidi w:val="0"/>
        <w:spacing w:before="60" w:after="80"/>
        <w:jc w:val="start"/>
        <w:rPr>
          <w:rFonts w:ascii="Arial" w:hAnsi="Arial" w:eastAsia="Arial" w:cs="Arial"/>
          <w:color w:val="1F2937"/>
          <w:kern w:val="2"/>
          <w:sz w:val="22"/>
          <w:szCs w:val="22"/>
          <w:lang w:val="es-AR" w:eastAsia="zh-CN" w:bidi="hi-IN"/>
        </w:rPr>
      </w:pPr>
      <w:r>
        <w:rPr>
          <w:rFonts w:eastAsia="Arial" w:cs="Arial" w:ascii="Arial" w:hAnsi="Arial"/>
          <w:color w:val="1F2937"/>
          <w:kern w:val="2"/>
          <w:sz w:val="22"/>
          <w:szCs w:val="22"/>
          <w:lang w:val="es-AR" w:eastAsia="zh-CN" w:bidi="hi-IN"/>
        </w:rPr>
        <w:t>Se analizaron tres regiones: Ciudad Autónoma de Buenos Aires (CABA), GBA / Provincia de Buenos Aires e Interior del país. El dataset cuenta con 8.461 observaciones en CABA, 915 en GBA/Prov. BA y 5.912 en Interior.</w:t>
      </w:r>
    </w:p>
    <w:p>
      <w:pPr>
        <w:pStyle w:val="BodyText"/>
        <w:widowControl/>
        <w:suppressAutoHyphens w:val="true"/>
        <w:bidi w:val="0"/>
        <w:spacing w:before="60" w:after="80"/>
        <w:jc w:val="start"/>
        <w:rPr>
          <w:rFonts w:ascii="Arial" w:hAnsi="Arial" w:eastAsia="Arial" w:cs="Arial"/>
          <w:color w:val="1F2937"/>
          <w:kern w:val="2"/>
          <w:sz w:val="22"/>
          <w:szCs w:val="22"/>
          <w:lang w:val="es-AR" w:eastAsia="zh-CN" w:bidi="hi-IN"/>
        </w:rPr>
      </w:pPr>
      <w:r>
        <w:rPr>
          <w:rFonts w:eastAsia="Arial" w:cs="Arial" w:ascii="Arial" w:hAnsi="Arial"/>
          <w:color w:val="1F2937"/>
          <w:kern w:val="2"/>
          <w:sz w:val="22"/>
          <w:szCs w:val="22"/>
          <w:lang w:val="es-AR" w:eastAsia="zh-CN" w:bidi="hi-IN"/>
        </w:rPr>
        <w:t xml:space="preserve">CABA e Interior presentan distribuciones salariales muy similares, con medianas cercanas y rangos intercuartílicos amplios que reflejan la heterogeneidad de roles y seniority dentro de cada región. GBA/Prov. BA muestra una mediana superior y una distribución más compacta. Este resultado podría explicarse </w:t>
      </w:r>
      <w:r>
        <w:rPr>
          <w:rFonts w:eastAsia="Arial" w:cs="Arial" w:ascii="Arial" w:hAnsi="Arial"/>
          <w:color w:val="1F2937"/>
          <w:kern w:val="2"/>
          <w:sz w:val="22"/>
          <w:szCs w:val="22"/>
          <w:lang w:val="es-AR" w:eastAsia="zh-CN" w:bidi="hi-IN"/>
        </w:rPr>
        <w:t>c</w:t>
      </w:r>
      <w:r>
        <w:rPr>
          <w:rFonts w:eastAsia="Arial" w:cs="Arial" w:ascii="Arial" w:hAnsi="Arial"/>
          <w:color w:val="1F2937"/>
          <w:kern w:val="2"/>
          <w:sz w:val="22"/>
          <w:szCs w:val="22"/>
          <w:lang w:val="es-AR" w:eastAsia="zh-CN" w:bidi="hi-IN"/>
        </w:rPr>
        <w:t>on</w:t>
      </w:r>
      <w:r>
        <w:rPr>
          <w:rFonts w:eastAsia="Arial" w:cs="Arial" w:ascii="Arial" w:hAnsi="Arial"/>
          <w:color w:val="1F2937"/>
          <w:kern w:val="2"/>
          <w:sz w:val="22"/>
          <w:szCs w:val="22"/>
          <w:lang w:val="es-AR" w:eastAsia="zh-CN" w:bidi="hi-IN"/>
        </w:rPr>
        <w:t xml:space="preserve"> el perfil de los encuestados en esa región: profesionales que trabajan de forma remota para empresas radicadas en CABA, accediendo a salarios altos sin las particularidades del mercado laboral porteño. La región será incorporada como variable de control en el modelado pero no se espera que sea un predictor de alto impacto.</w:t>
      </w:r>
    </w:p>
    <w:p>
      <w:pPr>
        <w:pStyle w:val="BodyText"/>
        <w:widowControl/>
        <w:suppressAutoHyphens w:val="true"/>
        <w:bidi w:val="0"/>
        <w:spacing w:before="60" w:after="80"/>
        <w:jc w:val="start"/>
        <w:rPr/>
      </w:pPr>
      <w:r>
        <w:rPr>
          <w:rStyle w:val="Strong"/>
          <w:rFonts w:eastAsia="Arial" w:cs="Arial" w:ascii="Arial" w:hAnsi="Arial"/>
          <w:color w:val="1F2937"/>
          <w:kern w:val="2"/>
          <w:sz w:val="22"/>
          <w:szCs w:val="22"/>
          <w:lang w:val="es-AR" w:eastAsia="zh-CN" w:bidi="hi-IN"/>
        </w:rPr>
        <w:t>Distribución salarial según grupo de rol</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Los cuatro grupos de rol presentan distribuciones con cierta diferenciación. Data Science / AI muestra la mediana más alta, seguido por Governance / Security. Data Platform / MLOps, a pesar de concentrar el 50% de las observaciones del dataset, presenta la mediana más baja entre los cuatro grupos. Analytics / Automation ocupa una posición intermedia.</w:t>
      </w:r>
    </w:p>
    <w:p>
      <w:pPr>
        <w:pStyle w:val="BodyText"/>
        <w:widowControl/>
        <w:suppressAutoHyphens w:val="true"/>
        <w:bidi w:val="0"/>
        <w:spacing w:before="60" w:after="80"/>
        <w:jc w:val="start"/>
        <w:rPr/>
      </w:pPr>
      <w:r>
        <w:rPr>
          <w:rFonts w:eastAsia="Arial" w:cs="Arial" w:ascii="Arial" w:hAnsi="Arial"/>
          <w:color w:val="1F2937"/>
          <w:kern w:val="2"/>
          <w:sz w:val="22"/>
          <w:szCs w:val="22"/>
          <w:lang w:val="es-AR" w:eastAsia="zh-CN" w:bidi="hi-IN"/>
        </w:rPr>
        <w:t xml:space="preserve">La dispersión es amplia en todos los grupos, lo que sugiere que el grupo de rol por sí solo no determina el salario y que variables como el seniority y la dolarización tienen un efecto transversal </w:t>
      </w:r>
      <w:r>
        <w:rPr>
          <w:rStyle w:val="Strong"/>
          <w:rFonts w:eastAsia="Arial" w:cs="Arial" w:ascii="Arial" w:hAnsi="Arial"/>
          <w:b w:val="false"/>
          <w:bCs w:val="false"/>
          <w:color w:val="1F2937"/>
          <w:kern w:val="2"/>
          <w:sz w:val="22"/>
          <w:szCs w:val="22"/>
          <w:lang w:val="es-AR" w:eastAsia="zh-CN" w:bidi="hi-IN"/>
        </w:rPr>
        <w:t>a todos los grupos.</w:t>
      </w:r>
    </w:p>
    <w:p>
      <w:pPr>
        <w:pStyle w:val="BodyText"/>
        <w:widowControl/>
        <w:suppressAutoHyphens w:val="true"/>
        <w:bidi w:val="0"/>
        <w:spacing w:before="60" w:after="80"/>
        <w:jc w:val="start"/>
        <w:rPr/>
      </w:pPr>
      <w:r>
        <w:rPr>
          <w:rStyle w:val="Strong"/>
          <w:rFonts w:eastAsia="Arial" w:cs="Arial" w:ascii="Arial" w:hAnsi="Arial"/>
          <w:color w:val="000000"/>
          <w:kern w:val="2"/>
          <w:sz w:val="22"/>
          <w:szCs w:val="22"/>
          <w:lang w:val="es-AR" w:eastAsia="zh-CN" w:bidi="hi-IN"/>
        </w:rPr>
        <w:t>Distribución salarial por rol individual — Top 15</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El análisis por rol individual muestra una variabilidad considerable dentro de cada grupo. Entre los roles con medianas más altas se encuentran AI Engineer y Data Governance / GRC, mientras que DBA y Analista de seguridad se ubican en el extremo inferior. Los roles del grupo Data Science / AI tienden a concentrarse en la mitad superior de la distribución, consistente con lo observado en el análisis por grupos.</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En conjunto, región y grupo de rol muestran diferencias salariales moderadas. El mercado IT argentino opera de forma relativamente homogénea en términos geográficos, con GBA mostrando un comportamiento particular que podría explicarse por la prevalencia del trabajo remoto. Entre los roles, AI Engineer lidera la distribución salarial mientras que DBA se ubica en el extremo inferior. Ambas variables serán incorporadas como controles en el modelado, aunque no se espera que sean los predictores de mayor impacto.</w:t>
      </w:r>
    </w:p>
    <w:p>
      <w:pPr>
        <w:pStyle w:val="BodyText"/>
        <w:widowControl/>
        <w:suppressAutoHyphens w:val="true"/>
        <w:bidi w:val="0"/>
        <w:spacing w:before="60" w:after="80"/>
        <w:jc w:val="start"/>
        <w:rPr>
          <w:rStyle w:val="Strong"/>
          <w:rFonts w:ascii="Arial" w:hAnsi="Arial" w:eastAsia="Arial" w:cs="Arial"/>
          <w:b w:val="false"/>
          <w:bCs w:val="false"/>
          <w:color w:val="1F2937"/>
          <w:kern w:val="2"/>
          <w:sz w:val="22"/>
          <w:szCs w:val="22"/>
          <w:lang w:val="es-AR" w:eastAsia="zh-CN" w:bidi="hi-IN"/>
        </w:rPr>
      </w:pPr>
      <w:r>
        <w:rPr/>
      </w:r>
    </w:p>
    <w:p>
      <w:pPr>
        <w:pStyle w:val="BodyText"/>
        <w:widowControl/>
        <w:suppressAutoHyphens w:val="true"/>
        <w:bidi w:val="0"/>
        <w:spacing w:before="60" w:after="80"/>
        <w:jc w:val="start"/>
        <w:rPr>
          <w:rStyle w:val="Strong"/>
          <w:rFonts w:ascii="Arial" w:hAnsi="Arial" w:eastAsia="Arial" w:cs="Arial"/>
          <w:b w:val="false"/>
          <w:bCs w:val="false"/>
          <w:color w:val="1F2937"/>
          <w:kern w:val="2"/>
          <w:sz w:val="22"/>
          <w:szCs w:val="22"/>
          <w:lang w:val="es-AR" w:eastAsia="zh-CN" w:bidi="hi-IN"/>
        </w:rPr>
      </w:pPr>
      <w:r>
        <w:rPr>
          <w:rStyle w:val="Strong"/>
          <w:rFonts w:eastAsia="Arial" w:cs="Arial" w:ascii="Arial" w:hAnsi="Arial"/>
          <w:b w:val="false"/>
          <w:bCs w:val="false"/>
          <w:color w:val="1F2937"/>
          <w:kern w:val="2"/>
          <w:sz w:val="22"/>
          <w:szCs w:val="22"/>
          <w:lang w:val="es-AR" w:eastAsia="zh-CN" w:bidi="hi-IN"/>
        </w:rPr>
        <w:t>La alta dispersión dentro de cada rol y la superposición entre cajas de distintos roles confirman que el título del puesto no determina unívocamente el salario. Dentro de un mismo rol conviven perfiles muy distintos en términos de seniority, experiencia y dolarización, que son los factores que realmente explican las diferencias salariales observadas. Esto refuerza la decisión de incorporar estas variables en el modelo de regresión en lugar de depender únicamente del rol como predictor.</w:t>
      </w:r>
    </w:p>
    <w:p>
      <w:pPr>
        <w:pStyle w:val="BodyText"/>
        <w:widowControl/>
        <w:suppressAutoHyphens w:val="true"/>
        <w:bidi w:val="0"/>
        <w:spacing w:before="60" w:after="80"/>
        <w:jc w:val="start"/>
        <w:rPr>
          <w:rStyle w:val="Strong"/>
          <w:rFonts w:ascii="Arial" w:hAnsi="Arial" w:eastAsia="Arial" w:cs="Arial"/>
          <w:color w:val="1F2937"/>
          <w:kern w:val="2"/>
          <w:sz w:val="22"/>
          <w:szCs w:val="22"/>
          <w:lang w:val="es-AR" w:eastAsia="zh-CN" w:bidi="hi-IN"/>
        </w:rPr>
      </w:pPr>
      <w:r>
        <w:rPr>
          <w:rFonts w:eastAsia="Arial" w:cs="Arial" w:ascii="Arial" w:hAnsi="Arial"/>
          <w:color w:val="1F2937"/>
          <w:kern w:val="2"/>
          <w:sz w:val="22"/>
          <w:szCs w:val="22"/>
          <w:lang w:val="es-AR" w:eastAsia="zh-CN" w:bidi="hi-IN"/>
        </w:rPr>
      </w:r>
    </w:p>
    <w:p>
      <w:pPr>
        <w:pStyle w:val="Heading1"/>
        <w:keepNext w:val="true"/>
        <w:pBdr>
          <w:bottom w:val="single" w:sz="4" w:space="6" w:color="2563EB"/>
        </w:pBdr>
        <w:bidi w:val="0"/>
        <w:jc w:val="start"/>
        <w:rPr>
          <w:rFonts w:ascii="Arial" w:hAnsi="Arial"/>
        </w:rPr>
      </w:pPr>
      <w:r>
        <w:rPr/>
        <w:t>8. Conclusiones del EDA</w:t>
      </w:r>
    </w:p>
    <w:p>
      <w:pPr>
        <w:pStyle w:val="Normal"/>
        <w:bidi w:val="0"/>
        <w:spacing w:before="60" w:after="80"/>
        <w:jc w:val="start"/>
        <w:rPr>
          <w:rFonts w:ascii="Arial" w:hAnsi="Arial" w:eastAsia="Arial" w:cs="Arial"/>
          <w:color w:val="1F2937"/>
          <w:sz w:val="22"/>
          <w:szCs w:val="22"/>
        </w:rPr>
      </w:pPr>
      <w:r>
        <w:rPr>
          <w:rFonts w:eastAsia="Arial" w:cs="Arial" w:ascii="Arial" w:hAnsi="Arial"/>
          <w:color w:val="1F2937"/>
          <w:sz w:val="22"/>
          <w:szCs w:val="22"/>
        </w:rPr>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El análisis exploratorio permitió identificar los principales patrones y relaciones presentes en el dataset, orientando las decisiones metodológicas para la etapa de modelado.</w:t>
      </w:r>
    </w:p>
    <w:p>
      <w:pPr>
        <w:pStyle w:val="BodyText"/>
        <w:widowControl/>
        <w:suppressAutoHyphens w:val="true"/>
        <w:bidi w:val="0"/>
        <w:spacing w:before="60" w:after="80"/>
        <w:jc w:val="start"/>
        <w:rPr>
          <w:rStyle w:val="Strong"/>
          <w:rFonts w:ascii="Arial" w:hAnsi="Arial" w:eastAsia="Arial" w:cs="Arial"/>
          <w:b/>
          <w:bCs/>
          <w:color w:val="1F2937"/>
          <w:kern w:val="2"/>
          <w:sz w:val="22"/>
          <w:szCs w:val="22"/>
          <w:lang w:val="es-AR" w:eastAsia="zh-CN" w:bidi="hi-IN"/>
        </w:rPr>
      </w:pPr>
      <w:r>
        <w:rPr>
          <w:rFonts w:eastAsia="Arial" w:cs="Arial" w:ascii="Arial" w:hAnsi="Arial"/>
          <w:b/>
          <w:bCs/>
          <w:color w:val="1F2937"/>
          <w:kern w:val="2"/>
          <w:sz w:val="22"/>
          <w:szCs w:val="22"/>
          <w:lang w:val="es-AR" w:eastAsia="zh-CN" w:bidi="hi-IN"/>
        </w:rPr>
      </w:r>
    </w:p>
    <w:p>
      <w:pPr>
        <w:pStyle w:val="BodyText"/>
        <w:widowControl/>
        <w:suppressAutoHyphens w:val="true"/>
        <w:bidi w:val="0"/>
        <w:spacing w:before="60" w:after="80"/>
        <w:jc w:val="start"/>
        <w:rPr/>
      </w:pPr>
      <w:r>
        <w:rPr>
          <w:rStyle w:val="Strong"/>
          <w:rFonts w:eastAsia="Arial" w:cs="Arial" w:ascii="Arial" w:hAnsi="Arial"/>
          <w:b/>
          <w:bCs/>
          <w:color w:val="1F2937"/>
          <w:kern w:val="2"/>
          <w:sz w:val="22"/>
          <w:szCs w:val="22"/>
          <w:lang w:val="es-AR" w:eastAsia="zh-CN" w:bidi="hi-IN"/>
        </w:rPr>
        <w:t>Sobre la variable objetivo</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La distribución del salario bruto presenta una marcada asimetría positiva, corregida mediante transformación logarítmica (log_sal). La distribución resultante exhibe un comportamiento bimodal que sugiere la existencia de dos grupos salariales diferenciados, posiblemente asociados a trabajadores con sueldos en pesos y trabajadores con sueldos dolarizados.</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Variables con mayor poder explicativo</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El análisis exploratorio identificó las siguientes variables como las más relevantes para explicar las diferencias salariales:</w:t>
      </w:r>
    </w:p>
    <w:p>
      <w:pPr>
        <w:pStyle w:val="BodyText"/>
        <w:widowControl/>
        <w:suppressAutoHyphens w:val="true"/>
        <w:bidi w:val="0"/>
        <w:spacing w:before="60" w:after="80"/>
        <w:jc w:val="start"/>
        <w:rPr>
          <w:rStyle w:val="Strong"/>
          <w:rFonts w:ascii="Arial" w:hAnsi="Arial" w:eastAsia="Arial" w:cs="Arial"/>
          <w:b w:val="false"/>
          <w:bCs w:val="false"/>
          <w:color w:val="1F2937"/>
          <w:kern w:val="2"/>
          <w:sz w:val="22"/>
          <w:szCs w:val="22"/>
          <w:lang w:val="es-AR" w:eastAsia="zh-CN" w:bidi="hi-IN"/>
        </w:rPr>
      </w:pPr>
      <w:r>
        <w:rPr>
          <w:rFonts w:eastAsia="Arial" w:cs="Arial" w:ascii="Arial" w:hAnsi="Arial"/>
          <w:b w:val="false"/>
          <w:bCs w:val="false"/>
          <w:color w:val="1F2937"/>
          <w:kern w:val="2"/>
          <w:sz w:val="22"/>
          <w:szCs w:val="22"/>
          <w:lang w:val="es-AR" w:eastAsia="zh-CN" w:bidi="hi-IN"/>
        </w:rPr>
      </w:r>
    </w:p>
    <w:p>
      <w:pPr>
        <w:pStyle w:val="BodyText"/>
        <w:widowControl/>
        <w:numPr>
          <w:ilvl w:val="0"/>
          <w:numId w:val="1"/>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Seniority: es la variable con la señal más clara y consistente. La mediana salarial aumenta progresivamente de Junior a Semi-Senior y Senior, con escasa superposición entre niveles. </w:t>
      </w:r>
    </w:p>
    <w:p>
      <w:pPr>
        <w:pStyle w:val="BodyText"/>
        <w:widowControl/>
        <w:numPr>
          <w:ilvl w:val="0"/>
          <w:numId w:val="1"/>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Dolarización del sueldo: los encuestados con sueldo dolarizado presentan medianas salariales notablemente superiores, independientemente de su nivel de experiencia. </w:t>
      </w:r>
    </w:p>
    <w:p>
      <w:pPr>
        <w:pStyle w:val="BodyText"/>
        <w:widowControl/>
        <w:numPr>
          <w:ilvl w:val="0"/>
          <w:numId w:val="1"/>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Grupo de rol: Data Science / AI presenta la mediana más alta entre los grupos analizados, aunque la dispersión dentro de cada grupo es considerable. </w:t>
      </w:r>
    </w:p>
    <w:p>
      <w:pPr>
        <w:pStyle w:val="BodyText"/>
        <w:widowControl/>
        <w:numPr>
          <w:ilvl w:val="0"/>
          <w:numId w:val="1"/>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Experiencia: muestra una relación positiva con el salario, aunque con alta dispersión que indica que no opera de forma aislada.</w:t>
      </w:r>
    </w:p>
    <w:p>
      <w:pPr>
        <w:pStyle w:val="BodyText"/>
        <w:widowControl/>
        <w:numPr>
          <w:ilvl w:val="0"/>
          <w:numId w:val="0"/>
        </w:numPr>
        <w:suppressAutoHyphens w:val="true"/>
        <w:bidi w:val="0"/>
        <w:spacing w:before="60" w:after="80"/>
        <w:ind w:hanging="0" w:start="0"/>
        <w:jc w:val="start"/>
        <w:rPr>
          <w:rStyle w:val="Strong"/>
          <w:rFonts w:ascii="Arial" w:hAnsi="Arial" w:eastAsia="Arial" w:cs="Arial"/>
          <w:b w:val="false"/>
          <w:bCs w:val="false"/>
          <w:color w:val="1F2937"/>
          <w:kern w:val="2"/>
          <w:sz w:val="22"/>
          <w:szCs w:val="22"/>
          <w:lang w:val="es-AR" w:eastAsia="zh-CN" w:bidi="hi-IN"/>
        </w:rPr>
      </w:pPr>
      <w:r>
        <w:rPr>
          <w:rFonts w:eastAsia="Arial" w:cs="Arial" w:ascii="Arial" w:hAnsi="Arial"/>
          <w:b w:val="false"/>
          <w:bCs w:val="false"/>
          <w:color w:val="1F2937"/>
          <w:kern w:val="2"/>
          <w:sz w:val="22"/>
          <w:szCs w:val="22"/>
          <w:lang w:val="es-AR" w:eastAsia="zh-CN" w:bidi="hi-IN"/>
        </w:rPr>
      </w:r>
    </w:p>
    <w:p>
      <w:pPr>
        <w:pStyle w:val="BodyText"/>
        <w:widowControl/>
        <w:suppressAutoHyphens w:val="true"/>
        <w:bidi w:val="0"/>
        <w:spacing w:before="60" w:after="80"/>
        <w:jc w:val="start"/>
        <w:rPr/>
      </w:pPr>
      <w:r>
        <w:rPr>
          <w:rStyle w:val="Strong"/>
          <w:rFonts w:eastAsia="Arial" w:cs="Arial" w:ascii="Arial" w:hAnsi="Arial"/>
          <w:b/>
          <w:bCs/>
          <w:color w:val="1F2937"/>
          <w:kern w:val="2"/>
          <w:sz w:val="22"/>
          <w:szCs w:val="22"/>
          <w:lang w:val="es-AR" w:eastAsia="zh-CN" w:bidi="hi-IN"/>
        </w:rPr>
        <w:t>Variables con menor poder explicativo</w:t>
      </w:r>
    </w:p>
    <w:p>
      <w:pPr>
        <w:pStyle w:val="BodyText"/>
        <w:widowControl/>
        <w:suppressAutoHyphens w:val="true"/>
        <w:bidi w:val="0"/>
        <w:spacing w:before="60" w:after="80"/>
        <w:jc w:val="start"/>
        <w:rPr>
          <w:rStyle w:val="Strong"/>
          <w:rFonts w:ascii="Arial" w:hAnsi="Arial" w:eastAsia="Arial" w:cs="Arial"/>
          <w:b/>
          <w:bCs/>
          <w:color w:val="1F2937"/>
          <w:kern w:val="2"/>
          <w:sz w:val="22"/>
          <w:szCs w:val="22"/>
          <w:lang w:val="es-AR" w:eastAsia="zh-CN" w:bidi="hi-IN"/>
        </w:rPr>
      </w:pPr>
      <w:r>
        <w:rPr>
          <w:rFonts w:eastAsia="Arial" w:cs="Arial" w:ascii="Arial" w:hAnsi="Arial"/>
          <w:b/>
          <w:bCs/>
          <w:color w:val="1F2937"/>
          <w:kern w:val="2"/>
          <w:sz w:val="22"/>
          <w:szCs w:val="22"/>
          <w:lang w:val="es-AR" w:eastAsia="zh-CN" w:bidi="hi-IN"/>
        </w:rPr>
      </w:r>
    </w:p>
    <w:p>
      <w:pPr>
        <w:pStyle w:val="BodyText"/>
        <w:widowControl/>
        <w:numPr>
          <w:ilvl w:val="0"/>
          <w:numId w:val="2"/>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Modalidad de trabajo: no se observaron diferencias salariales claras entre trabajo remoto, híbrido y presencial. </w:t>
      </w:r>
    </w:p>
    <w:p>
      <w:pPr>
        <w:pStyle w:val="BodyText"/>
        <w:widowControl/>
        <w:numPr>
          <w:ilvl w:val="0"/>
          <w:numId w:val="2"/>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Tamaño de la organización: las medianas salariales son similares entre empresas de distintos tamaños, sin una tendencia definida. </w:t>
      </w:r>
    </w:p>
    <w:p>
      <w:pPr>
        <w:pStyle w:val="BodyText"/>
        <w:widowControl/>
        <w:numPr>
          <w:ilvl w:val="0"/>
          <w:numId w:val="2"/>
        </w:numPr>
        <w:tabs>
          <w:tab w:val="clear" w:pos="709"/>
          <w:tab w:val="left" w:pos="0" w:leader="none"/>
        </w:tabs>
        <w:suppressAutoHyphens w:val="true"/>
        <w:bidi w:val="0"/>
        <w:spacing w:before="60" w:after="80"/>
        <w:ind w:hanging="283" w:start="709"/>
        <w:jc w:val="start"/>
        <w:rPr/>
      </w:pPr>
      <w:r>
        <w:rPr>
          <w:rStyle w:val="Strong"/>
          <w:rFonts w:eastAsia="Arial" w:cs="Arial" w:ascii="Arial" w:hAnsi="Arial"/>
          <w:b w:val="false"/>
          <w:bCs w:val="false"/>
          <w:color w:val="1F2937"/>
          <w:kern w:val="2"/>
          <w:sz w:val="22"/>
          <w:szCs w:val="22"/>
          <w:lang w:val="es-AR" w:eastAsia="zh-CN" w:bidi="hi-IN"/>
        </w:rPr>
        <w:t xml:space="preserve">Región: las diferencias entre CABA, GBA e Interior son menores de lo esperado, sugiriendo que el mercado IT argentino opera de forma relativamente homogénea en términos geográficos. </w:t>
      </w:r>
    </w:p>
    <w:p>
      <w:pPr>
        <w:pStyle w:val="BodyText"/>
        <w:widowControl/>
        <w:suppressAutoHyphens w:val="true"/>
        <w:bidi w:val="0"/>
        <w:spacing w:before="60" w:after="80"/>
        <w:jc w:val="start"/>
        <w:rPr/>
      </w:pPr>
      <w:r>
        <w:rPr>
          <w:rStyle w:val="Strong"/>
          <w:rFonts w:eastAsia="Arial" w:cs="Arial" w:ascii="Arial" w:hAnsi="Arial"/>
          <w:b/>
          <w:bCs/>
          <w:color w:val="1F2937"/>
          <w:kern w:val="2"/>
          <w:sz w:val="22"/>
          <w:szCs w:val="22"/>
          <w:lang w:val="es-AR" w:eastAsia="zh-CN" w:bidi="hi-IN"/>
        </w:rPr>
        <w:t>Variable confundidora identificada</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El análisis de género reveló la presencia de seniority como variable confundidora. Sin controlar por seniority, las mujeres presentan una mediana levemente superior a los hombres. Al incorporar el seniority como control, las diferencias entre géneros se reducen notablemente. La brecha observada se explica por la distinta composición de seniority entre géneros: los hombres tienen una proporción de Senior (~50%) significativamente mayor que las mujeres (~30%).</w:t>
      </w:r>
    </w:p>
    <w:p>
      <w:pPr>
        <w:pStyle w:val="BodyText"/>
        <w:widowControl/>
        <w:suppressAutoHyphens w:val="true"/>
        <w:bidi w:val="0"/>
        <w:spacing w:before="60" w:after="80"/>
        <w:jc w:val="start"/>
        <w:rPr>
          <w:rStyle w:val="Strong"/>
          <w:rFonts w:ascii="Arial" w:hAnsi="Arial" w:eastAsia="Arial" w:cs="Arial"/>
          <w:b w:val="false"/>
          <w:bCs w:val="false"/>
          <w:color w:val="1F2937"/>
          <w:kern w:val="2"/>
          <w:sz w:val="22"/>
          <w:szCs w:val="22"/>
          <w:lang w:val="es-AR" w:eastAsia="zh-CN" w:bidi="hi-IN"/>
        </w:rPr>
      </w:pPr>
      <w:r>
        <w:rPr>
          <w:rFonts w:eastAsia="Arial" w:cs="Arial" w:ascii="Arial" w:hAnsi="Arial"/>
          <w:b w:val="false"/>
          <w:bCs w:val="false"/>
          <w:color w:val="1F2937"/>
          <w:kern w:val="2"/>
          <w:sz w:val="22"/>
          <w:szCs w:val="22"/>
          <w:lang w:val="es-AR" w:eastAsia="zh-CN" w:bidi="hi-IN"/>
        </w:rPr>
      </w:r>
    </w:p>
    <w:p>
      <w:pPr>
        <w:pStyle w:val="BodyText"/>
        <w:widowControl/>
        <w:suppressAutoHyphens w:val="true"/>
        <w:bidi w:val="0"/>
        <w:spacing w:before="60" w:after="80"/>
        <w:jc w:val="start"/>
        <w:rPr/>
      </w:pPr>
      <w:r>
        <w:rPr>
          <w:rStyle w:val="Strong"/>
          <w:rFonts w:eastAsia="Arial" w:cs="Arial" w:ascii="Arial" w:hAnsi="Arial"/>
          <w:b/>
          <w:bCs/>
          <w:color w:val="1F2937"/>
          <w:kern w:val="2"/>
          <w:sz w:val="22"/>
          <w:szCs w:val="22"/>
          <w:lang w:val="es-AR" w:eastAsia="zh-CN" w:bidi="hi-IN"/>
        </w:rPr>
        <w:t>Consideraciones para el modelado</w:t>
      </w:r>
    </w:p>
    <w:p>
      <w:pPr>
        <w:pStyle w:val="BodyText"/>
        <w:widowControl/>
        <w:suppressAutoHyphens w:val="true"/>
        <w:bidi w:val="0"/>
        <w:spacing w:before="60" w:after="80"/>
        <w:jc w:val="start"/>
        <w:rPr/>
      </w:pPr>
      <w:r>
        <w:rPr>
          <w:rStyle w:val="Strong"/>
          <w:rFonts w:eastAsia="Arial" w:cs="Arial" w:ascii="Arial" w:hAnsi="Arial"/>
          <w:b w:val="false"/>
          <w:bCs w:val="false"/>
          <w:color w:val="1F2937"/>
          <w:kern w:val="2"/>
          <w:sz w:val="22"/>
          <w:szCs w:val="22"/>
          <w:lang w:val="es-AR" w:eastAsia="zh-CN" w:bidi="hi-IN"/>
        </w:rPr>
        <w:t>El EDA derivó en dos estrategias de modelado complementarias. Un modelo amplio que utiliza la totalidad de las observaciones (2019-2026, n=15.304) con variables disponibles en todos los períodos: experiencia, grupo de rol, género, región y personas a cargo. Y un modelo enriquecido restringido a los períodos 2024-2026 (n=5.091) que incorpora adicionalmente seniority y dolarización del sueldo, las variables de mayor poder explicativo identificadas en el EDA. La comparación entre ambos modelos mediante ANOVA permitirá cuantificar el aporte explicativo de las variables más recientes.</w:t>
      </w:r>
    </w:p>
    <w:p>
      <w:pPr>
        <w:pStyle w:val="BodyText"/>
        <w:widowControl/>
        <w:suppressAutoHyphens w:val="true"/>
        <w:bidi w:val="0"/>
        <w:spacing w:before="60" w:after="80"/>
        <w:jc w:val="start"/>
        <w:rPr>
          <w:rStyle w:val="Strong"/>
          <w:rFonts w:ascii="Arial" w:hAnsi="Arial" w:eastAsia="Arial" w:cs="Arial"/>
          <w:b w:val="false"/>
          <w:bCs w:val="false"/>
          <w:color w:val="1F2937"/>
          <w:kern w:val="2"/>
          <w:sz w:val="22"/>
          <w:szCs w:val="22"/>
          <w:lang w:val="es-AR" w:eastAsia="zh-CN" w:bidi="hi-IN"/>
        </w:rPr>
      </w:pPr>
      <w:r>
        <w:rPr>
          <w:rFonts w:eastAsia="Arial" w:cs="Arial" w:ascii="Arial" w:hAnsi="Arial"/>
          <w:b w:val="false"/>
          <w:bCs w:val="false"/>
          <w:color w:val="1F2937"/>
          <w:kern w:val="2"/>
          <w:sz w:val="22"/>
          <w:szCs w:val="22"/>
          <w:lang w:val="es-AR" w:eastAsia="zh-CN" w:bidi="hi-IN"/>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s-AR" w:eastAsia="zh-CN" w:bidi="hi-IN"/>
    </w:rPr>
  </w:style>
  <w:style w:type="paragraph" w:styleId="Heading1">
    <w:name w:val="heading 1"/>
    <w:basedOn w:val="Heading"/>
    <w:qFormat/>
    <w:pPr>
      <w:spacing w:before="360" w:after="120"/>
      <w:outlineLvl w:val="0"/>
    </w:pPr>
    <w:rPr>
      <w:rFonts w:ascii="Arial" w:hAnsi="Arial" w:eastAsia="Arial" w:cs="Arial"/>
      <w:b/>
      <w:bCs/>
      <w:color w:val="2563EB"/>
      <w:sz w:val="32"/>
      <w:szCs w:val="32"/>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255</TotalTime>
  <Application>LibreOffice/26.2.0.3$MacOSX_AARCH64 LibreOffice_project/afbbd0df0edb6d40b450b0337ac646b0913a760c</Application>
  <AppVersion>15.0000</AppVersion>
  <Pages>7</Pages>
  <Words>2743</Words>
  <Characters>15360</Characters>
  <CharactersWithSpaces>18026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2026-05-29T23:49:24Z</dcterms:created>
  <dc:creator/>
  <dc:description/>
  <dc:language>es-AR</dc:language>
  <cp:lastModifiedBy/>
  <dcterms:modified xsi:type="dcterms:W3CDTF">2026-05-30T15:30:21Z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