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2A6099"/>
        </w:rPr>
      </w:pPr>
      <w:r>
        <w:rPr>
          <w:rFonts w:eastAsia="Arial" w:cs="Arial"/>
          <w:b/>
          <w:bCs/>
          <w:color w:val="2A6099"/>
          <w:sz w:val="40"/>
          <w:szCs w:val="40"/>
        </w:rPr>
        <w:t>Analisis Exploratorio de Datos</w:t>
      </w:r>
    </w:p>
    <w:p>
      <w:pPr>
        <w:pStyle w:val="Normal"/>
        <w:jc w:val="center"/>
        <w:rPr>
          <w:rFonts w:ascii="Arial" w:hAnsi="Arial"/>
          <w:sz w:val="22"/>
          <w:szCs w:val="22"/>
        </w:rPr>
      </w:pPr>
      <w:r>
        <w:rPr>
          <w:rFonts w:eastAsia="Arial" w:cs="Arial"/>
          <w:sz w:val="22"/>
          <w:szCs w:val="22"/>
        </w:rPr>
        <w:t>Encuesta Sysarmy de Remuneraciones IT Argentina 2019-2026</w:t>
      </w:r>
    </w:p>
    <w:p>
      <w:pPr>
        <w:pStyle w:val="Normal"/>
        <w:rPr>
          <w:rFonts w:ascii="Arial" w:hAnsi="Arial"/>
          <w:sz w:val="22"/>
          <w:szCs w:val="22"/>
        </w:rPr>
      </w:pPr>
      <w:r>
        <w:rPr>
          <w:sz w:val="22"/>
          <w:szCs w:val="22"/>
        </w:rPr>
      </w:r>
    </w:p>
    <w:p>
      <w:pPr>
        <w:pStyle w:val="Heading1"/>
        <w:rPr>
          <w:rFonts w:ascii="Arial" w:hAnsi="Arial"/>
          <w:sz w:val="22"/>
          <w:szCs w:val="22"/>
        </w:rPr>
      </w:pPr>
      <w:r>
        <w:rPr>
          <w:sz w:val="22"/>
          <w:szCs w:val="22"/>
        </w:rPr>
      </w:r>
    </w:p>
    <w:p>
      <w:pPr>
        <w:pStyle w:val="Heading1"/>
        <w:rPr>
          <w:color w:val="2A6099"/>
        </w:rPr>
      </w:pPr>
      <w:r>
        <w:rPr>
          <w:color w:val="2A6099"/>
          <w:sz w:val="22"/>
          <w:szCs w:val="22"/>
        </w:rPr>
        <w:t xml:space="preserve">1. </w:t>
      </w:r>
      <w:r>
        <w:rPr>
          <w:color w:val="2A6099"/>
          <w:sz w:val="22"/>
          <w:szCs w:val="22"/>
        </w:rPr>
        <w:t>Calidad de los datos</w:t>
      </w:r>
    </w:p>
    <w:p>
      <w:pPr>
        <w:pStyle w:val="Normal"/>
        <w:rPr>
          <w:rFonts w:ascii="Arial" w:hAnsi="Arial"/>
          <w:sz w:val="22"/>
          <w:szCs w:val="22"/>
        </w:rPr>
      </w:pPr>
      <w:r>
        <w:rPr>
          <w:sz w:val="22"/>
          <w:szCs w:val="22"/>
        </w:rPr>
        <w:t>La calidad general de los datos es buena. Las variables principales utilizadas para el modelado, como salario, experiencia, antigüedad, rol, género y región, no presentan valores faltantes.</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Se detectan faltantes importantes en las variables seniority, sueldo_dolarizado y uso_ia, con aproximadamente un 66,7% de valores faltantes. Inicialmente, esto podría sugerir problemas de calidad de datos; sin embargo, un análisis más detallado nos permitió identificar que dichos faltantes no son aleatorios. Al analizar la distribución de los valores faltantes por año y semestre, se observó que estos se encuentran asociados al período de relevamiento de la encuesta. Las variables seniority, sueldo_dolarizado y uso_ia no fueron relevadas en las encuestas comprendidas entre 2019 y 2023, mientras que comienzan a estar disponibles a partir de la edición 2024.1. Por otro lado, la variable modalidad aparece recién a partir de la edición 2022.2.</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Por lo tanto, los valores faltantes responden a cambios en el cuestionario de Sysarmy a lo largo del tiempo y no a errores de carga ni a omisiones de los encuestados.</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2. Distribuciones Univariadas</w:t>
      </w:r>
    </w:p>
    <w:p>
      <w:pPr>
        <w:pStyle w:val="Normal"/>
        <w:rPr>
          <w:rFonts w:ascii="Arial" w:hAnsi="Arial"/>
          <w:sz w:val="22"/>
          <w:szCs w:val="22"/>
        </w:rPr>
      </w:pPr>
      <w:r>
        <w:rPr>
          <w:sz w:val="22"/>
          <w:szCs w:val="22"/>
        </w:rPr>
        <w:t>El dataset cuenta con 15.474 observaciones distribuidas en 14 períodos semestrales (2019.1 a 2026.1). El grupo de rol predominante es Data Platform / MLOps con el 50% de las observaciones, seguido por Data Science / AI con el 31%. La distribución de género muestra que el 82% de los encuestados se identifica como hombre, el 14% como mujer y el 4% como no binario, reflejando la composición típica del sector IT en Argentina. El 80% de los encuestados no tiene personas a cargo.</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La mediana de experiencia es de 6 años y la edad mediana es de 34 años. El 75% de los encuestados tiene entre 0 y 13 años de experiencia, lo que indica una población relativamente joven en términos de trayectoria laboral.</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3. Variable Objetivo: Salario</w:t>
      </w:r>
    </w:p>
    <w:p>
      <w:pPr>
        <w:pStyle w:val="Normal"/>
        <w:rPr>
          <w:rFonts w:ascii="Arial" w:hAnsi="Arial"/>
          <w:sz w:val="22"/>
          <w:szCs w:val="22"/>
        </w:rPr>
      </w:pPr>
      <w:r>
        <w:rPr>
          <w:sz w:val="22"/>
          <w:szCs w:val="22"/>
        </w:rPr>
        <w:t>Dado que las encuestas abarcan el período 2019-2026, comparar salarios en pesos nominales entre distintos años no es posible sin ajustar por inflación. Un sueldo de $100.000 en 2019 y uno de $1.500.000 en 2026 pueden representar poder adquisitivo similar, pero en escala nominal aparecen como valores completamente distintos.</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Para resolver este problema, se deflactó el salario bruto por el valor promedio del dólar blue de cada período semestral, obteniendo la variable sal_usd_blue. Esta transformación permite comparar el poder adquisitivo real de los salarios a lo largo del tiempo en una escala común.</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del salario en dólares blue</w:t>
      </w:r>
    </w:p>
    <w:p>
      <w:pPr>
        <w:pStyle w:val="Normal"/>
        <w:rPr>
          <w:rFonts w:ascii="Arial" w:hAnsi="Arial"/>
          <w:sz w:val="22"/>
          <w:szCs w:val="22"/>
        </w:rPr>
      </w:pPr>
      <w:r>
        <w:rPr>
          <w:sz w:val="22"/>
          <w:szCs w:val="22"/>
        </w:rPr>
        <w:t>El histograma de sal_usd_blue muestra una distribución fuertemente asimétrica hacia la derecha, con la mayoría de las observaciones concentradas entre 0 y 2.000 USD y una cola larga hacia la derecha. La mediana es de 1.073 USD y la media de 1.477 USD, confirmando la necesidad de una transformación.</w:t>
      </w:r>
    </w:p>
    <w:p>
      <w:pPr>
        <w:pStyle w:val="Normal"/>
        <w:rPr>
          <w:rFonts w:ascii="Arial" w:hAnsi="Arial"/>
          <w:sz w:val="22"/>
          <w:szCs w:val="22"/>
        </w:rPr>
      </w:pPr>
      <w:r>
        <w:rPr>
          <w:sz w:val="22"/>
          <w:szCs w:val="22"/>
        </w:rPr>
      </w:r>
    </w:p>
    <w:p>
      <w:pPr>
        <w:pStyle w:val="Heading2"/>
        <w:rPr>
          <w:rFonts w:ascii="Arial" w:hAnsi="Arial"/>
          <w:sz w:val="22"/>
          <w:szCs w:val="22"/>
        </w:rPr>
      </w:pPr>
      <w:r>
        <w:rPr>
          <w:rFonts w:eastAsia="Arial" w:cs="Arial"/>
          <w:b/>
          <w:bCs/>
          <w:color w:val="2A6099"/>
          <w:kern w:val="0"/>
          <w:sz w:val="22"/>
          <w:szCs w:val="22"/>
          <w:lang w:val="es-AR" w:eastAsia="zh-CN" w:bidi="hi-IN"/>
        </w:rPr>
        <w:t>Transformación logarítmica</w:t>
      </w:r>
    </w:p>
    <w:p>
      <w:pPr>
        <w:pStyle w:val="Normal"/>
        <w:rPr>
          <w:rFonts w:ascii="Arial" w:hAnsi="Arial"/>
          <w:sz w:val="22"/>
          <w:szCs w:val="22"/>
        </w:rPr>
      </w:pPr>
      <w:r>
        <w:rPr>
          <w:sz w:val="22"/>
          <w:szCs w:val="22"/>
        </w:rPr>
        <w:t>Se aplicó una transformación logarítmica sobre sal_usd_blue, obteniendo la variable log_sal_usd, que será la variable objetivo del modelado. Tras la transformación, la distribución es aproximadamente normal y unimodal, centrada alrededor de 7.</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de log_sal_usd — Hallazgo relevante</w:t>
      </w:r>
    </w:p>
    <w:p>
      <w:pPr>
        <w:pStyle w:val="Normal"/>
        <w:rPr>
          <w:rFonts w:ascii="Arial" w:hAnsi="Arial"/>
          <w:sz w:val="22"/>
          <w:szCs w:val="22"/>
        </w:rPr>
      </w:pPr>
      <w:r>
        <w:rPr>
          <w:sz w:val="22"/>
          <w:szCs w:val="22"/>
        </w:rPr>
        <w:t>A diferencia de lo que ocurría con log_sal en pesos (que presentaba una distribución bimodal), log_sal_usd muestra una distribución unimodal y aproximadamente normal. Esto valida la decisión de deflactar: la bimodalidad observada en pesos era un artefacto de la inflación, no una diferencia real de poder adquisitivo entre grupos. Al expresar todos los salarios en una escala común (dólares blue), los dos grupos colapsan en uno.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Boxplot</w:t>
      </w:r>
    </w:p>
    <w:p>
      <w:pPr>
        <w:pStyle w:val="Normal"/>
        <w:rPr>
          <w:rFonts w:ascii="Arial" w:hAnsi="Arial"/>
          <w:sz w:val="22"/>
          <w:szCs w:val="22"/>
        </w:rPr>
      </w:pPr>
      <w:r>
        <w:rPr>
          <w:sz w:val="22"/>
          <w:szCs w:val="22"/>
        </w:rPr>
        <w:t>El boxplot de log_sal_usd muestra la caja concentrada alrededor de 7-7,5, con una cola de valores atípicos hacia abajo correspondiente a salarios bajos que sobrevivieron el filtro de outliers. La distribución es compacta y sin valores extremos superiores problemáticos.</w:t>
      </w:r>
    </w:p>
    <w:p>
      <w:pPr>
        <w:pStyle w:val="Normal"/>
        <w:rPr>
          <w:rFonts w:ascii="Arial" w:hAnsi="Arial"/>
          <w:sz w:val="22"/>
          <w:szCs w:val="22"/>
        </w:rPr>
      </w:pPr>
      <w:r>
        <w:rPr>
          <w:sz w:val="22"/>
          <w:szCs w:val="22"/>
        </w:rPr>
      </w:r>
    </w:p>
    <w:p>
      <w:pPr>
        <w:pStyle w:val="Heading1"/>
        <w:rPr>
          <w:rFonts w:ascii="Arial" w:hAnsi="Arial"/>
          <w:sz w:val="22"/>
          <w:szCs w:val="22"/>
        </w:rPr>
      </w:pPr>
      <w:r>
        <w:rPr>
          <w:rFonts w:eastAsia="Arial" w:cs="Arial"/>
          <w:b/>
          <w:bCs/>
          <w:color w:val="2A6099"/>
          <w:kern w:val="0"/>
          <w:sz w:val="22"/>
          <w:szCs w:val="22"/>
          <w:lang w:val="es-AR" w:eastAsia="zh-CN" w:bidi="hi-IN"/>
        </w:rPr>
        <w:t>4. Variables Numéricas</w:t>
      </w:r>
    </w:p>
    <w:p>
      <w:pPr>
        <w:pStyle w:val="Normal"/>
        <w:rPr>
          <w:rFonts w:ascii="Arial" w:hAnsi="Arial"/>
          <w:sz w:val="22"/>
          <w:szCs w:val="22"/>
        </w:rPr>
      </w:pPr>
      <w:r>
        <w:rPr>
          <w:sz w:val="22"/>
          <w:szCs w:val="22"/>
        </w:rPr>
        <w:t>Se analizó la relación entre las principales variables numéricas del dataset y el logaritmo del salario en dólares (log_sal_usd), utilizando gráficos de dispersión con ajuste lineal e intervalos de confianza al 95%.</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Experiencia</w:t>
      </w:r>
    </w:p>
    <w:p>
      <w:pPr>
        <w:pStyle w:val="Normal"/>
        <w:rPr>
          <w:rFonts w:ascii="Arial" w:hAnsi="Arial"/>
          <w:sz w:val="22"/>
          <w:szCs w:val="22"/>
        </w:rPr>
      </w:pPr>
      <w:r>
        <w:rPr>
          <w:sz w:val="22"/>
          <w:szCs w:val="22"/>
        </w:rPr>
        <w:t>Se observa una relación positiva entre los años de experiencia y el salario, aunque con una leve pendiente. La nube de puntos presenta una dispersión vertical considerable en todos los niveles de experiencia, lo que indicaría que la experiencia por sí sola no determina el salario. La mayoría de las observaciones se concentra entre 0 y 20 años, con muy pocos casos por encima de 40 años que no siguen una tendencia clara. Esto sugiere que la experiencia es una variable relevante pero insuficiente para explicar las diferencias salariales de forma aislada.</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Edad</w:t>
      </w:r>
    </w:p>
    <w:p>
      <w:pPr>
        <w:pStyle w:val="Normal"/>
        <w:rPr>
          <w:rFonts w:ascii="Arial" w:hAnsi="Arial"/>
          <w:sz w:val="22"/>
          <w:szCs w:val="22"/>
        </w:rPr>
      </w:pPr>
      <w:r>
        <w:rPr>
          <w:sz w:val="22"/>
          <w:szCs w:val="22"/>
        </w:rPr>
        <w:t>La relación entre edad y salario muestra una tendencia positiva similar a la de experiencia, lo cual es esperable dado que ambas variables están correlacionadas. Sin embargo, la dispersión es aún mayor: personas de similar edad presentan rangos salariales muy amplios. Experiencia y edad están muy correlacionadas entre sí; cuando conviven en un modelo, el modelo no sabe bien a cuál de las dos atribuirle el efecto sobre el salario. Las dos están diciendo casi lo mismo, esto se llama multicolinealidad. Algo a tener en cuenta a la hora de modelar.</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Personas a cargo</w:t>
      </w:r>
    </w:p>
    <w:p>
      <w:pPr>
        <w:pStyle w:val="Normal"/>
        <w:rPr>
          <w:rFonts w:ascii="Arial" w:hAnsi="Arial"/>
          <w:sz w:val="22"/>
          <w:szCs w:val="22"/>
        </w:rPr>
      </w:pPr>
      <w:r>
        <w:rPr>
          <w:sz w:val="22"/>
          <w:szCs w:val="22"/>
        </w:rPr>
        <w:t>El gráfico de dispersión muestra que el 80% de las observaciones se concentran en x=0 (sin personas a cargo), lo que limita la capacidad del ajuste lineal para capturar una tendencia real. El intervalo de confianza se amplía considerablemente a medida que aumenta la cantidad de personas a cargo, reflejando la escasez de observaciones en esos rangos.</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El boxplot por grupos resulta más informativo: quienes lideran equipos grandes presentan la mediana salarial más alta, aunque también la mayor dispersión. Las medianas de los grupos Sin equipo, Equipo pequeño y Equipo mediano son similares entre sí, lo que sugiere que la relación entre liderazgo y salario no es lineal y podría estar mediada por otras variables como el seniority o el grupo de rol.</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En conjunto, las variables numéricas muestran relaciones positivas con el salario pero con alta dispersión individual, lo que indica que ninguna de ellas determina el salario de forma aislada. Se destaca que edad y experiencia presentan patrones similares, lo que sugiere una posible correlación entre ambas. Para evitar problemas de multicolinealidad en el modelado, se evaluará incluir solo una de las dos variables.</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5. Variables Categóricas</w:t>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Seniority</w:t>
      </w:r>
    </w:p>
    <w:p>
      <w:pPr>
        <w:pStyle w:val="Normal"/>
        <w:rPr>
          <w:rFonts w:ascii="Arial" w:hAnsi="Arial"/>
          <w:sz w:val="22"/>
          <w:szCs w:val="22"/>
        </w:rPr>
      </w:pPr>
      <w:r>
        <w:rPr>
          <w:sz w:val="22"/>
          <w:szCs w:val="22"/>
        </w:rPr>
        <w:t>El seniority es la variable categórica con mayor poder discriminante sobre el salario. Se observa una separación clara y progresiva entre las tres categorías, con escasa superposición entre las cajas. Las diferencias son consistentes y las distribuciones de cada nivel son relativamente compactas en su rango intercuartílico. Este patrón sugiere que el seniority será una de las variables más relevantes en el modelo de regresión. Cabe recordar que esta variable solo está disponible para los períodos 2024-2026.</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Modalidad de trabajo</w:t>
      </w:r>
    </w:p>
    <w:p>
      <w:pPr>
        <w:pStyle w:val="Normal"/>
        <w:rPr>
          <w:rFonts w:ascii="Arial" w:hAnsi="Arial"/>
          <w:sz w:val="22"/>
          <w:szCs w:val="22"/>
        </w:rPr>
      </w:pPr>
      <w:r>
        <w:rPr>
          <w:sz w:val="22"/>
          <w:szCs w:val="22"/>
        </w:rPr>
        <w:t>Las tres modalidades de trabajo presentan medianas salariales muy similares entre sí en dólares, sin una diferencia clara y consistente. El trabajo remoto e híbrido muestran distribuciones prácticamente equivalentes, mientras que el trabajo presencial presenta una mediana levemente inferior. Este hallazgo sugiere que la modalidad no sería un determinante relevante del salario en este sector.</w:t>
      </w:r>
    </w:p>
    <w:p>
      <w:pPr>
        <w:pStyle w:val="Normal"/>
        <w:rPr>
          <w:rFonts w:ascii="Arial" w:hAnsi="Arial"/>
          <w:sz w:val="22"/>
          <w:szCs w:val="22"/>
        </w:rPr>
      </w:pPr>
      <w:r>
        <w:rPr>
          <w:sz w:val="22"/>
          <w:szCs w:val="22"/>
        </w:rPr>
      </w:r>
    </w:p>
    <w:p>
      <w:pPr>
        <w:pStyle w:val="Heading1"/>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Dolarización del sueldo</w:t>
      </w:r>
    </w:p>
    <w:p>
      <w:pPr>
        <w:pStyle w:val="Normal"/>
        <w:rPr>
          <w:rFonts w:ascii="Arial" w:hAnsi="Arial"/>
          <w:sz w:val="22"/>
          <w:szCs w:val="22"/>
        </w:rPr>
      </w:pPr>
      <w:r>
        <w:rPr>
          <w:sz w:val="22"/>
          <w:szCs w:val="22"/>
        </w:rPr>
        <w:t>Al analizar la dolarización en pesos nominales, los encuestados con sueldo dolarizado presentaban una mediana notablemente superior, representando una diferencia del 34% en salario bruto mensual. Sin embargo, al deflactar por el dólar blue (variable sal_usd_blue), esta brecha prácticamente desaparece: las medianas de dolarizados y no dolarizados son casi idénticas en USD.</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Este resultado valida la decisión de usar sal_usd_blue como variable objetivo. La brecha observada en pesos era un efecto inflacionario: quienes cobran en dólares simplemente mantienen su poder adquisitivo, mientras que quienes cobran en pesos lo ven erosionado por la inflación. Al expresar ambos grupos en la misma escala, la diferencia desaparece.</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El gráfico de dispersión por experiencia confirma este hallazgo: las líneas de dolarizados y no dolarizados parten del mismo punto y tienen pendientes muy similares en USD, a diferencia de lo observado en pesos donde la brecha era evidente.</w:t>
      </w:r>
    </w:p>
    <w:p>
      <w:pPr>
        <w:pStyle w:val="Normal"/>
        <w:rPr>
          <w:rFonts w:ascii="Arial" w:hAnsi="Arial"/>
          <w:sz w:val="22"/>
          <w:szCs w:val="22"/>
        </w:rPr>
      </w:pPr>
      <w:r>
        <w:rPr>
          <w:sz w:val="22"/>
          <w:szCs w:val="22"/>
        </w:rPr>
      </w:r>
    </w:p>
    <w:p>
      <w:pPr>
        <w:pStyle w:val="Heading2"/>
        <w:rPr>
          <w:rFonts w:ascii="Arial" w:hAnsi="Arial"/>
          <w:sz w:val="22"/>
          <w:szCs w:val="22"/>
        </w:rPr>
      </w:pPr>
      <w:r>
        <w:rPr>
          <w:rFonts w:eastAsia="Arial" w:cs="Arial"/>
          <w:b/>
          <w:bCs/>
          <w:color w:val="2A6099"/>
          <w:kern w:val="0"/>
          <w:sz w:val="22"/>
          <w:szCs w:val="22"/>
          <w:lang w:val="es-AR" w:eastAsia="zh-CN" w:bidi="hi-IN"/>
        </w:rPr>
        <w:t>Tamaño de la organización</w:t>
      </w:r>
    </w:p>
    <w:p>
      <w:pPr>
        <w:pStyle w:val="Normal"/>
        <w:rPr>
          <w:rFonts w:ascii="Arial" w:hAnsi="Arial"/>
          <w:sz w:val="22"/>
          <w:szCs w:val="22"/>
        </w:rPr>
      </w:pPr>
      <w:r>
        <w:rPr>
          <w:sz w:val="22"/>
          <w:szCs w:val="22"/>
        </w:rPr>
        <w:t>El tamaño de la organización no muestra una relación clara y consistente con el salario. Las medianas salariales son notablemente similares entre empresas de todos los tamaños, desde organizaciones unipersonales hasta corporaciones de más de 10.000 personas. Esto sugiere que el tamaño de la empresa no aportaría poder explicativo relevante al modelo de regresión.</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Personas a cargo</w:t>
      </w:r>
    </w:p>
    <w:p>
      <w:pPr>
        <w:pStyle w:val="Normal"/>
        <w:rPr>
          <w:rFonts w:ascii="Arial" w:hAnsi="Arial"/>
          <w:sz w:val="22"/>
          <w:szCs w:val="22"/>
        </w:rPr>
      </w:pPr>
      <w:r>
        <w:rPr>
          <w:sz w:val="22"/>
          <w:szCs w:val="22"/>
        </w:rPr>
        <w:t>Los encuestados que lideran equipos grandes presentan la mediana salarial más alta, aunque también la mayor dispersión. Sin embargo, las diferencias entre Sin equipo, Equipo pequeño y Equipo mediano son menores de lo esperado, lo que sugiere que la relación entre liderazgo de equipos y salario no es lineal y podría estar mediada por el seniority o el grupo de rol.</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6. Variables Confundidoras — Género y Seniority</w:t>
      </w:r>
    </w:p>
    <w:p>
      <w:pPr>
        <w:pStyle w:val="Normal"/>
        <w:rPr>
          <w:rFonts w:ascii="Arial" w:hAnsi="Arial"/>
          <w:sz w:val="22"/>
          <w:szCs w:val="22"/>
        </w:rPr>
      </w:pPr>
      <w:r>
        <w:rPr>
          <w:sz w:val="22"/>
          <w:szCs w:val="22"/>
        </w:rPr>
        <w:t>El análisis de la variable género requiere especial cuidado metodológico debido a la presencia de variables confundidoras. Se presentan tres gráficos en secuencia para ilustrar este fenómeno.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salarial según género — sin controlar</w:t>
      </w:r>
    </w:p>
    <w:p>
      <w:pPr>
        <w:pStyle w:val="Normal"/>
        <w:rPr>
          <w:rFonts w:ascii="Arial" w:hAnsi="Arial"/>
          <w:sz w:val="22"/>
          <w:szCs w:val="22"/>
        </w:rPr>
      </w:pPr>
      <w:r>
        <w:rPr>
          <w:sz w:val="22"/>
          <w:szCs w:val="22"/>
        </w:rPr>
        <w:t>Al comparar las distribuciones salariales por género en dólares sin incorporar otras variables, se observa que los hombres presentan una mediana salarial levemente superior a la de las mujeres y la categoría Otro/No binarie. Esta observación podría sugerir la existencia de una brecha salarial de género en el sector.</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salarial según género y seniority — controlando la confundidora</w:t>
      </w:r>
    </w:p>
    <w:p>
      <w:pPr>
        <w:pStyle w:val="Normal"/>
        <w:rPr>
          <w:rFonts w:ascii="Arial" w:hAnsi="Arial"/>
          <w:sz w:val="22"/>
          <w:szCs w:val="22"/>
        </w:rPr>
      </w:pPr>
      <w:r>
        <w:rPr>
          <w:sz w:val="22"/>
          <w:szCs w:val="22"/>
        </w:rPr>
        <w:t>Al incorporar el seniority como variable de control, se observa que la brecha a favor de los hombres persiste dentro de cada nivel de seniority, especialmente en Semi-Senior y Senior. Esto indica que el género tiene un efecto independiente del seniority sobre el salario, y que la diferencia observada no se explica únicamente por la composición de niveles.</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Proporción de seniority según género — explicando la confusión</w:t>
      </w:r>
    </w:p>
    <w:p>
      <w:pPr>
        <w:pStyle w:val="Normal"/>
        <w:rPr>
          <w:rFonts w:ascii="Arial" w:hAnsi="Arial"/>
          <w:sz w:val="22"/>
          <w:szCs w:val="22"/>
        </w:rPr>
      </w:pPr>
      <w:r>
        <w:rPr>
          <w:sz w:val="22"/>
          <w:szCs w:val="22"/>
        </w:rPr>
        <w:t>El gráfico de proporciones revela que los hombres tienen una proporción de Senior notablemente mayor (~53%) que las mujeres (~35%), mientras que las mujeres están más representadas en los niveles Semi-Senior y Junior. Esta diferencia en la composición amplifica la brecha salarial observada sin controlar, pero no la explica completamente: la brecha persiste dentro de cada nivel de seniority.</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Conclusión</w:t>
      </w:r>
    </w:p>
    <w:p>
      <w:pPr>
        <w:pStyle w:val="Normal"/>
        <w:rPr>
          <w:rFonts w:ascii="Arial" w:hAnsi="Arial"/>
          <w:sz w:val="22"/>
          <w:szCs w:val="22"/>
        </w:rPr>
      </w:pPr>
      <w:r>
        <w:rPr>
          <w:sz w:val="22"/>
          <w:szCs w:val="22"/>
        </w:rPr>
        <w:t>El análisis revela que el género tiene un efecto independiente sobre el salario que persiste al controlar por seniority. La distinta composición de niveles entre géneros amplifica la brecha observada en comparaciones simples, pero no la genera: dentro de cada nivel, los hombres tienden a tener medianas superiores, especialmente en Semi-Senior y Senior. Esta distinción será considerada en el modelado, donde género y seniority serán incorporados simultáneamente para cuantificar el efecto de cada uno.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7. Región y Roles</w:t>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salarial según región</w:t>
      </w:r>
    </w:p>
    <w:p>
      <w:pPr>
        <w:pStyle w:val="Normal"/>
        <w:rPr>
          <w:rFonts w:ascii="Arial" w:hAnsi="Arial"/>
          <w:sz w:val="22"/>
          <w:szCs w:val="22"/>
        </w:rPr>
      </w:pPr>
      <w:r>
        <w:rPr>
          <w:sz w:val="22"/>
          <w:szCs w:val="22"/>
        </w:rPr>
        <w:t>Se analizaron tres regiones: Ciudad Autónoma de Buenos Aires (CABA), GBA / Provincia de Buenos Aires e Interior del país. El dataset cuenta con 8.561 observaciones en CABA, 2.635 en GBA/Prov. BA y 4.183 en Interior.</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Las tres regiones muestran medianas muy similares en dólares, con CABA levemente por encima. Las diferencias son pequeñas, lo que sugiere que el mercado IT argentino opera de forma relativamente homogénea en términos geográficos. La región será incorporada como variable de control en el modelado pero no se espera que sea un predictor de alto impacto.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salarial según grupo de rol</w:t>
      </w:r>
    </w:p>
    <w:p>
      <w:pPr>
        <w:pStyle w:val="Normal"/>
        <w:rPr>
          <w:rFonts w:ascii="Arial" w:hAnsi="Arial"/>
          <w:sz w:val="22"/>
          <w:szCs w:val="22"/>
        </w:rPr>
      </w:pPr>
      <w:r>
        <w:rPr>
          <w:sz w:val="22"/>
          <w:szCs w:val="22"/>
        </w:rPr>
        <w:t>Los cuatro grupos de rol presentan medianas muy similares en dólares. Governance / Security muestra una leve ventaja, mientras que Analytics / Automation queda levemente por debajo. Las diferencias son moderadas, lo que sugiere que el grupo de rol por sí solo no determina el salario y que variables como el seniority tienen un efecto transversal a todos los grupos.</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Distribución salarial por rol individual</w:t>
      </w:r>
    </w:p>
    <w:p>
      <w:pPr>
        <w:pStyle w:val="Normal"/>
        <w:rPr>
          <w:rFonts w:ascii="Arial" w:hAnsi="Arial"/>
          <w:sz w:val="22"/>
          <w:szCs w:val="22"/>
        </w:rPr>
      </w:pPr>
      <w:r>
        <w:rPr>
          <w:sz w:val="22"/>
          <w:szCs w:val="22"/>
        </w:rPr>
        <w:t>El análisis por rol individual muestra que AI Engineer lidera con la mediana más alta y menor dispersión. BI Analyst / Data Analyst y Business Analyst se ubican en el extremo inferior. Los roles del grupo Data Science / AI (celeste) tienden a concentrarse en la mitad superior de la distribución.</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La alta dispersión dentro de cada rol y la superposición entre cajas de distintos roles confirman que el título del puesto no determina unívocamente el salario. Dentro de un mismo rol conviven perfiles muy distintos en términos de seniority y experiencia, que son los factores que realmente explican las diferencias salariales observadas.</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8. Conclusiones del EDA</w:t>
      </w:r>
    </w:p>
    <w:p>
      <w:pPr>
        <w:pStyle w:val="Normal"/>
        <w:rPr>
          <w:rFonts w:ascii="Arial" w:hAnsi="Arial"/>
          <w:sz w:val="22"/>
          <w:szCs w:val="22"/>
        </w:rPr>
      </w:pPr>
      <w:r>
        <w:rPr>
          <w:sz w:val="22"/>
          <w:szCs w:val="22"/>
        </w:rPr>
        <w:t>El análisis exploratorio permitió identificar los principales patrones y relaciones presentes en el dataset, orientando las decisiones metodológicas para la etapa de modelado.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Sobre la variable objetivo</w:t>
      </w:r>
    </w:p>
    <w:p>
      <w:pPr>
        <w:pStyle w:val="Normal"/>
        <w:rPr>
          <w:rFonts w:ascii="Arial" w:hAnsi="Arial"/>
          <w:sz w:val="22"/>
          <w:szCs w:val="22"/>
        </w:rPr>
      </w:pPr>
      <w:r>
        <w:rPr>
          <w:sz w:val="22"/>
          <w:szCs w:val="22"/>
        </w:rPr>
        <w:t>La variable objetivo del modelado es log_sal_usd, el logaritmo del salario bruto deflactado por el dólar blue de cada período. Esta elección resuelve el problema de comparabilidad temporal causado por la inflación: al expresar todos los salarios en una escala común (dólares), es posible comparar observaciones de 2019 con observaciones de 2026 sin distorsiones nominales. La distribución de log_sal_usd es unimodal y aproximadamente normal, a diferencia de log_sal en pesos que presentaba bimodalidad como artefacto inflacionario.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Variables con mayor poder explicativo</w:t>
      </w:r>
    </w:p>
    <w:p>
      <w:pPr>
        <w:pStyle w:val="ListParagraph"/>
        <w:numPr>
          <w:ilvl w:val="0"/>
          <w:numId w:val="4"/>
        </w:numPr>
        <w:rPr>
          <w:rFonts w:ascii="Arial" w:hAnsi="Arial"/>
          <w:sz w:val="22"/>
          <w:szCs w:val="22"/>
        </w:rPr>
      </w:pPr>
      <w:r>
        <w:rPr>
          <w:sz w:val="22"/>
          <w:szCs w:val="22"/>
        </w:rPr>
        <w:t>Seniority: es la variable con la señal más clara y consistente. La mediana salarial aumenta progresivamente de Junior a Semi-Senior y Senior, con escasa superposición entre niveles.</w:t>
      </w:r>
    </w:p>
    <w:p>
      <w:pPr>
        <w:pStyle w:val="ListParagraph"/>
        <w:numPr>
          <w:ilvl w:val="0"/>
          <w:numId w:val="2"/>
        </w:numPr>
        <w:rPr>
          <w:rFonts w:ascii="Arial" w:hAnsi="Arial"/>
          <w:sz w:val="22"/>
          <w:szCs w:val="22"/>
        </w:rPr>
      </w:pPr>
      <w:r>
        <w:rPr>
          <w:sz w:val="22"/>
          <w:szCs w:val="22"/>
        </w:rPr>
        <w:t>Experiencia: muestra una relación positiva con el salario, aunque con alta dispersión que indica que no opera de forma aislada.</w:t>
      </w:r>
    </w:p>
    <w:p>
      <w:pPr>
        <w:pStyle w:val="ListParagraph"/>
        <w:numPr>
          <w:ilvl w:val="0"/>
          <w:numId w:val="2"/>
        </w:numPr>
        <w:rPr>
          <w:rFonts w:ascii="Arial" w:hAnsi="Arial"/>
          <w:sz w:val="22"/>
          <w:szCs w:val="22"/>
        </w:rPr>
      </w:pPr>
      <w:r>
        <w:rPr>
          <w:sz w:val="22"/>
          <w:szCs w:val="22"/>
        </w:rPr>
        <w:t>Grupo de rol: Governance / Security presenta la mediana más alta entre los grupos analizados, aunque la dispersión dentro de cada grupo es considerable.</w:t>
      </w:r>
    </w:p>
    <w:p>
      <w:pPr>
        <w:pStyle w:val="ListParagraph"/>
        <w:numPr>
          <w:ilvl w:val="0"/>
          <w:numId w:val="2"/>
        </w:numPr>
        <w:rPr>
          <w:rFonts w:ascii="Arial" w:hAnsi="Arial"/>
          <w:sz w:val="22"/>
          <w:szCs w:val="22"/>
        </w:rPr>
      </w:pPr>
      <w:r>
        <w:rPr>
          <w:sz w:val="22"/>
          <w:szCs w:val="22"/>
        </w:rPr>
        <w:t>Género: persiste una brecha salarial a favor de los hombres incluso controlando por seniority, especialmente visible en Semi-Senior y Senior.</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Variables con menor poder explicativo</w:t>
      </w:r>
    </w:p>
    <w:p>
      <w:pPr>
        <w:pStyle w:val="ListParagraph"/>
        <w:numPr>
          <w:ilvl w:val="0"/>
          <w:numId w:val="2"/>
        </w:numPr>
        <w:rPr>
          <w:rFonts w:ascii="Arial" w:hAnsi="Arial"/>
          <w:sz w:val="22"/>
          <w:szCs w:val="22"/>
        </w:rPr>
      </w:pPr>
      <w:r>
        <w:rPr>
          <w:sz w:val="22"/>
          <w:szCs w:val="22"/>
        </w:rPr>
        <w:t>Dolarización del sueldo: en pesos nominales mostraba una brecha del 34%, pero al deflactar por el dólar blue la diferencia prácticamente desaparece. Era un efecto inflacionario, no una diferencia real de poder adquisitivo.</w:t>
      </w:r>
    </w:p>
    <w:p>
      <w:pPr>
        <w:pStyle w:val="ListParagraph"/>
        <w:numPr>
          <w:ilvl w:val="0"/>
          <w:numId w:val="2"/>
        </w:numPr>
        <w:rPr>
          <w:rFonts w:ascii="Arial" w:hAnsi="Arial"/>
          <w:sz w:val="22"/>
          <w:szCs w:val="22"/>
        </w:rPr>
      </w:pPr>
      <w:r>
        <w:rPr>
          <w:sz w:val="22"/>
          <w:szCs w:val="22"/>
        </w:rPr>
        <w:t>Modalidad de trabajo: no se observaron diferencias salariales claras entre trabajo remoto, híbrido y presencial.</w:t>
      </w:r>
    </w:p>
    <w:p>
      <w:pPr>
        <w:pStyle w:val="ListParagraph"/>
        <w:numPr>
          <w:ilvl w:val="0"/>
          <w:numId w:val="2"/>
        </w:numPr>
        <w:rPr>
          <w:rFonts w:ascii="Arial" w:hAnsi="Arial"/>
          <w:sz w:val="22"/>
          <w:szCs w:val="22"/>
        </w:rPr>
      </w:pPr>
      <w:r>
        <w:rPr>
          <w:sz w:val="22"/>
          <w:szCs w:val="22"/>
        </w:rPr>
        <w:t>Tamaño de la organización: las medianas salariales son similares entre empresas de distintos tamaños, sin una tendencia definida.</w:t>
      </w:r>
    </w:p>
    <w:p>
      <w:pPr>
        <w:pStyle w:val="ListParagraph"/>
        <w:numPr>
          <w:ilvl w:val="0"/>
          <w:numId w:val="2"/>
        </w:numPr>
        <w:rPr>
          <w:rFonts w:ascii="Arial" w:hAnsi="Arial"/>
          <w:sz w:val="22"/>
          <w:szCs w:val="22"/>
        </w:rPr>
      </w:pPr>
      <w:r>
        <w:rPr>
          <w:sz w:val="22"/>
          <w:szCs w:val="22"/>
        </w:rPr>
        <w:t>Región: las diferencias entre CABA, GBA e Interior son pequeñas, sugiriendo que el mercado IT argentino opera de forma relativamente homogénea en términos geográficos.</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Variable confundidora identificada</w:t>
      </w:r>
    </w:p>
    <w:p>
      <w:pPr>
        <w:pStyle w:val="Normal"/>
        <w:rPr>
          <w:rFonts w:ascii="Arial" w:hAnsi="Arial"/>
          <w:sz w:val="22"/>
          <w:szCs w:val="22"/>
        </w:rPr>
      </w:pPr>
      <w:r>
        <w:rPr>
          <w:sz w:val="22"/>
          <w:szCs w:val="22"/>
        </w:rPr>
        <w:t>El análisis de género reveló la presencia de seniority como variable confundidora parcial. Los hombres tienen una proporción de Senior (~53%) significativamente mayor que las mujeres (~35%), lo que amplifica la brecha observada en comparaciones simples. Sin embargo, la brecha persiste dentro de cada nivel de seniority, lo que indica que el género tiene un efecto independiente que será cuantificado en el modelado.</w:t>
      </w:r>
    </w:p>
    <w:p>
      <w:pPr>
        <w:pStyle w:val="Normal"/>
        <w:rPr>
          <w:rFonts w:ascii="Arial" w:hAnsi="Arial"/>
          <w:sz w:val="22"/>
          <w:szCs w:val="22"/>
        </w:rPr>
      </w:pPr>
      <w:r>
        <w:rPr>
          <w:sz w:val="22"/>
          <w:szCs w:val="22"/>
        </w:rPr>
      </w:r>
    </w:p>
    <w:p>
      <w:pPr>
        <w:pStyle w:val="Heading2"/>
        <w:keepNext w:val="true"/>
        <w:widowControl/>
        <w:suppressAutoHyphens w:val="true"/>
        <w:bidi w:val="0"/>
        <w:jc w:val="start"/>
        <w:rPr>
          <w:color w:val="2A6099"/>
          <w:kern w:val="0"/>
          <w:sz w:val="22"/>
          <w:szCs w:val="22"/>
          <w:lang w:val="es-AR" w:eastAsia="zh-CN" w:bidi="hi-IN"/>
        </w:rPr>
      </w:pPr>
      <w:r>
        <w:rPr>
          <w:color w:val="2A6099"/>
          <w:kern w:val="0"/>
          <w:sz w:val="22"/>
          <w:szCs w:val="22"/>
          <w:lang w:val="es-AR" w:eastAsia="zh-CN" w:bidi="hi-IN"/>
        </w:rPr>
        <w:t>Consideraciones para el modelado</w:t>
      </w:r>
    </w:p>
    <w:p>
      <w:pPr>
        <w:pStyle w:val="Normal"/>
        <w:rPr>
          <w:rFonts w:ascii="Arial" w:hAnsi="Arial"/>
          <w:sz w:val="22"/>
          <w:szCs w:val="22"/>
        </w:rPr>
      </w:pPr>
      <w:r>
        <w:rPr>
          <w:sz w:val="22"/>
          <w:szCs w:val="22"/>
        </w:rPr>
        <w:t>El EDA derivó en dos estrategias de modelado complementarias orientadas a responder la pregunta: ¿qué rol y nivel de seniority maximizan el salario en dólares en el sector IT argentino, controlando por experiencia, región y género?</w:t>
      </w:r>
    </w:p>
    <w:p>
      <w:pPr>
        <w:pStyle w:val="Normal"/>
        <w:rPr>
          <w:rFonts w:ascii="Arial" w:hAnsi="Arial"/>
          <w:sz w:val="22"/>
          <w:szCs w:val="22"/>
        </w:rPr>
      </w:pPr>
      <w:r>
        <w:rPr>
          <w:sz w:val="22"/>
          <w:szCs w:val="22"/>
        </w:rPr>
      </w:r>
    </w:p>
    <w:p>
      <w:pPr>
        <w:pStyle w:val="Normal"/>
        <w:rPr>
          <w:rFonts w:ascii="Arial" w:hAnsi="Arial"/>
          <w:sz w:val="22"/>
          <w:szCs w:val="22"/>
        </w:rPr>
      </w:pPr>
      <w:r>
        <w:rPr>
          <w:sz w:val="22"/>
          <w:szCs w:val="22"/>
        </w:rPr>
        <w:t>Un modelo amplio que utiliza la totalidad de las observaciones (2019-2026, n=15.474) con variables disponibles en todos los períodos: experiencia, grupo de rol, género, región y personas a cargo. Y un modelo enriquecido restringido a los períodos 2024-2026 que incorpora adicionalmente seniority y sueldo_dolarizado. La comparación entre ambos modelos mediante ANOVA permitirá cuantificar el aporte explicativo de las variables más recientes.</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OpenSymbol" w:hAnsi="OpenSymbol" w:cs="Open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4"/>
      <w:szCs w:val="24"/>
      <w:lang w:val="es-AR" w:eastAsia="zh-CN" w:bidi="hi-IN"/>
    </w:rPr>
  </w:style>
  <w:style w:type="paragraph" w:styleId="Heading1">
    <w:name w:val="heading 1"/>
    <w:basedOn w:val="Heading"/>
    <w:qFormat/>
    <w:pPr>
      <w:spacing w:before="240" w:after="120"/>
      <w:outlineLvl w:val="0"/>
    </w:pPr>
    <w:rPr>
      <w:rFonts w:ascii="Arial" w:hAnsi="Arial" w:eastAsia="Arial" w:cs="Arial"/>
      <w:b/>
      <w:bCs/>
      <w:sz w:val="32"/>
      <w:szCs w:val="32"/>
    </w:rPr>
  </w:style>
  <w:style w:type="paragraph" w:styleId="Heading2">
    <w:name w:val="heading 2"/>
    <w:basedOn w:val="Heading"/>
    <w:qFormat/>
    <w:pPr>
      <w:spacing w:before="180" w:after="90"/>
      <w:outlineLvl w:val="1"/>
    </w:pPr>
    <w:rPr>
      <w:rFonts w:ascii="Arial" w:hAnsi="Arial" w:eastAsia="Arial" w:cs="Arial"/>
      <w:b/>
      <w:bCs/>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4"/>
      <w:szCs w:val="24"/>
      <w:lang w:val="es-A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LibreOffice/26.2.0.3$MacOSX_AARCH64 LibreOffice_project/afbbd0df0edb6d40b450b0337ac646b0913a760c</Application>
  <AppVersion>15.0000</AppVersion>
  <Pages>6</Pages>
  <Words>2469</Words>
  <Characters>13737</Characters>
  <CharactersWithSpaces>16122</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2026-05-31T04:47:34Z</dcterms:created>
  <dc:creator>Un-named</dc:creator>
  <dc:description/>
  <dc:language>es-AR</dc:language>
  <cp:lastModifiedBy/>
  <dcterms:modified xsi:type="dcterms:W3CDTF">2026-05-31T01:54:51Z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