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00471E"/>
          <w:sz w:val="52"/>
          <w:szCs w:val="52"/>
        </w:rPr>
        <w:t xml:space="preserve">COMBUSTIBLES EN BRASIL</w:t>
      </w:r>
    </w:p>
    <w:p>
      <w:pPr>
        <w:spacing w:before="0" w:after="80"/>
        <w:jc w:val="center"/>
      </w:pPr>
      <w:r>
        <w:rPr>
          <w:rFonts w:ascii="Arial" w:cs="Arial" w:eastAsia="Arial" w:hAnsi="Arial"/>
          <w:b w:val="false"/>
          <w:bCs w:val="false"/>
          <w:color w:val="009040"/>
          <w:sz w:val="28"/>
          <w:szCs w:val="28"/>
        </w:rPr>
        <w:t xml:space="preserve">Análisis del Mercado de Combustibles 2010–2021</w:t>
      </w:r>
    </w:p>
    <w:p>
      <w:pPr>
        <w:spacing w:before="200" w:after="0"/>
      </w:pPr>
      <w:r>
        <w:t xml:space="preserve"/>
      </w:r>
    </w:p>
    <w:p>
      <w:pPr>
        <w:pBdr>
          <w:bottom w:val="single" w:color="F5C518" w:sz="8"/>
        </w:pBdr>
        <w:spacing w:before="0" w:after="240"/>
        <w:jc w:val="center"/>
      </w:pPr>
      <w:r>
        <w:t xml:space="preserve"/>
      </w:r>
    </w:p>
    <w:p>
      <w:pPr>
        <w:spacing w:before="200" w:after="0"/>
      </w:pPr>
      <w:r>
        <w:t xml:space="preserve"/>
      </w:r>
    </w:p>
    <w:p>
      <w:pPr>
        <w:spacing w:before="0" w:after="120"/>
        <w:jc w:val="center"/>
      </w:pPr>
      <w:r>
        <w:rPr>
          <w:rFonts w:ascii="Arial" w:cs="Arial" w:eastAsia="Arial" w:hAnsi="Arial"/>
          <w:b/>
          <w:bCs/>
          <w:color w:val="1A1A2E"/>
          <w:sz w:val="26"/>
          <w:szCs w:val="26"/>
        </w:rPr>
        <w:t xml:space="preserve">Informe de Consultoría</w:t>
      </w:r>
    </w:p>
    <w:p>
      <w:pPr>
        <w:spacing w:before="0" w:after="80"/>
        <w:jc w:val="center"/>
      </w:pPr>
      <w:r>
        <w:rPr>
          <w:rFonts w:ascii="Arial" w:cs="Arial" w:eastAsia="Arial" w:hAnsi="Arial"/>
          <w:color w:val="1A1A2E"/>
          <w:sz w:val="22"/>
          <w:szCs w:val="22"/>
        </w:rPr>
        <w:t xml:space="preserve">Cliente: Gobierno Federal de Brasil</w:t>
      </w:r>
    </w:p>
    <w:p>
      <w:pPr>
        <w:spacing w:before="600" w:after="0"/>
      </w:pPr>
      <w:r>
        <w:t xml:space="preserve"/>
      </w:r>
    </w:p>
    <w:p>
      <w:pPr>
        <w:spacing w:before="0" w:after="80"/>
        <w:jc w:val="center"/>
      </w:pPr>
      <w:r>
        <w:rPr>
          <w:rFonts w:ascii="Arial" w:cs="Arial" w:eastAsia="Arial" w:hAnsi="Arial"/>
          <w:b/>
          <w:bCs/>
          <w:color w:val="1A1A2E"/>
          <w:sz w:val="22"/>
          <w:szCs w:val="22"/>
        </w:rPr>
        <w:t xml:space="preserve">Universidad ORT Uruguay</w:t>
      </w:r>
    </w:p>
    <w:p>
      <w:pPr>
        <w:spacing w:before="0" w:after="80"/>
        <w:jc w:val="center"/>
      </w:pPr>
      <w:r>
        <w:rPr>
          <w:rFonts w:ascii="Arial" w:cs="Arial" w:eastAsia="Arial" w:hAnsi="Arial"/>
          <w:color w:val="1A1A2E"/>
          <w:sz w:val="22"/>
          <w:szCs w:val="22"/>
        </w:rPr>
        <w:t xml:space="preserve">Taller: Visualización de Datos y Narrativa</w:t>
      </w:r>
    </w:p>
    <w:p>
      <w:pPr>
        <w:spacing w:before="0" w:after="80"/>
        <w:jc w:val="center"/>
      </w:pPr>
      <w:r>
        <w:rPr>
          <w:rFonts w:ascii="Arial" w:cs="Arial" w:eastAsia="Arial" w:hAnsi="Arial"/>
          <w:color w:val="1A1A2E"/>
          <w:sz w:val="22"/>
          <w:szCs w:val="22"/>
        </w:rPr>
        <w:t xml:space="preserve">Docentes: Sara Perera · Nicholas Cranwell</w:t>
      </w:r>
    </w:p>
    <w:p>
      <w:pPr>
        <w:spacing w:before="0" w:after="80"/>
        <w:jc w:val="center"/>
      </w:pPr>
      <w:r>
        <w:rPr>
          <w:rFonts w:ascii="Arial" w:cs="Arial" w:eastAsia="Arial" w:hAnsi="Arial"/>
          <w:color w:val="1A1A2E"/>
          <w:sz w:val="22"/>
          <w:szCs w:val="22"/>
        </w:rPr>
        <w:t xml:space="preserve">Marzo 2026</w:t>
      </w:r>
    </w:p>
    <w:p>
      <w:r>
        <w:br w:type="page"/>
      </w:r>
    </w:p>
    <w:p>
      <w:pPr>
        <w:pStyle w:val="Heading1"/>
        <w:spacing w:before="360" w:after="120"/>
      </w:pPr>
      <w:r>
        <w:rPr>
          <w:rFonts w:ascii="Arial" w:cs="Arial" w:eastAsia="Arial" w:hAnsi="Arial"/>
          <w:b/>
          <w:bCs/>
          <w:color w:val="00471E"/>
          <w:sz w:val="28"/>
          <w:szCs w:val="28"/>
        </w:rPr>
        <w:t xml:space="preserve">1. El Problema y Desafío a Resolver</w:t>
      </w:r>
    </w:p>
    <w:p>
      <w:pPr>
        <w:spacing w:before="80" w:after="80" w:line="276"/>
        <w:jc w:val="both"/>
      </w:pPr>
      <w:r>
        <w:rPr>
          <w:rFonts w:ascii="Arial" w:cs="Arial" w:eastAsia="Arial" w:hAnsi="Arial"/>
          <w:b w:val="false"/>
          <w:bCs w:val="false"/>
          <w:color w:val="1A1A2E"/>
          <w:sz w:val="22"/>
          <w:szCs w:val="22"/>
        </w:rPr>
        <w:t xml:space="preserve">El Gobierno Federal de Brasil enfrenta el desafío de comprender la dinámica del mercado de combustibles a lo largo del territorio nacional. Con 27 estados, 5 regiones y realidades logísticas muy distintas — desde el denso entorno urbano del Sudeste hasta la vasta Amazonia del Norte —, existen disparidades significativas en precios, márgenes y disponibilidad de infraestructura que impactan directamente en la competitividad económica y el bienestar de la población.</w:t>
      </w:r>
    </w:p>
    <w:p>
      <w:pPr>
        <w:spacing w:before="80" w:after="0"/>
      </w:pPr>
      <w:r>
        <w:t xml:space="preserve"/>
      </w:r>
    </w:p>
    <w:p>
      <w:pPr>
        <w:spacing w:before="80" w:after="80" w:line="276"/>
        <w:jc w:val="both"/>
      </w:pPr>
      <w:r>
        <w:rPr>
          <w:rFonts w:ascii="Arial" w:cs="Arial" w:eastAsia="Arial" w:hAnsi="Arial"/>
          <w:b w:val="false"/>
          <w:bCs w:val="false"/>
          <w:color w:val="1A1A2E"/>
          <w:sz w:val="22"/>
          <w:szCs w:val="22"/>
        </w:rPr>
        <w:t xml:space="preserve">El equipo consultor fue convocado para analizar el dataset Gas Prices in Brazil elaborado por la Agência Nacional do Petróleo (ANP), con el fin de responder las siguientes preguntas orientativas:</w:t>
      </w:r>
    </w:p>
    <w:p>
      <w:pPr>
        <w:spacing w:before="60" w:after="0"/>
      </w:pPr>
      <w:r>
        <w:t xml:space="preserve"/>
      </w:r>
    </w:p>
    <w:p>
      <w:pPr>
        <w:pStyle w:val="ListParagraph"/>
        <w:numPr>
          <w:ilvl w:val="0"/>
          <w:numId w:val="2"/>
        </w:numPr>
        <w:spacing w:before="40" w:after="40" w:line="276"/>
      </w:pPr>
      <w:r>
        <w:rPr>
          <w:rFonts w:ascii="Arial" w:cs="Arial" w:eastAsia="Arial" w:hAnsi="Arial"/>
          <w:color w:val="1A1A2E"/>
          <w:sz w:val="22"/>
          <w:szCs w:val="22"/>
        </w:rPr>
        <w:t xml:space="preserve">¿Cómo se distribuyen geográficamente las estaciones de servicio en Brasil?</w:t>
      </w:r>
    </w:p>
    <w:p>
      <w:pPr>
        <w:pStyle w:val="ListParagraph"/>
        <w:numPr>
          <w:ilvl w:val="0"/>
          <w:numId w:val="2"/>
        </w:numPr>
        <w:spacing w:before="40" w:after="40" w:line="276"/>
      </w:pPr>
      <w:r>
        <w:rPr>
          <w:rFonts w:ascii="Arial" w:cs="Arial" w:eastAsia="Arial" w:hAnsi="Arial"/>
          <w:color w:val="1A1A2E"/>
          <w:sz w:val="22"/>
          <w:szCs w:val="22"/>
        </w:rPr>
        <w:t xml:space="preserve">¿Cuál fue la evolución de los precios de los principales combustibles en el período 2010–2021?</w:t>
      </w:r>
    </w:p>
    <w:p>
      <w:pPr>
        <w:pStyle w:val="ListParagraph"/>
        <w:numPr>
          <w:ilvl w:val="0"/>
          <w:numId w:val="2"/>
        </w:numPr>
        <w:spacing w:before="40" w:after="40" w:line="276"/>
      </w:pPr>
      <w:r>
        <w:rPr>
          <w:rFonts w:ascii="Arial" w:cs="Arial" w:eastAsia="Arial" w:hAnsi="Arial"/>
          <w:color w:val="1A1A2E"/>
          <w:sz w:val="22"/>
          <w:szCs w:val="22"/>
        </w:rPr>
        <w:t xml:space="preserve">¿Qué regiones y estados presentan los precios más elevados, y cuáles son las causas estructurales?</w:t>
      </w:r>
    </w:p>
    <w:p>
      <w:pPr>
        <w:pStyle w:val="ListParagraph"/>
        <w:numPr>
          <w:ilvl w:val="0"/>
          <w:numId w:val="2"/>
        </w:numPr>
        <w:spacing w:before="40" w:after="40" w:line="276"/>
      </w:pPr>
      <w:r>
        <w:rPr>
          <w:rFonts w:ascii="Arial" w:cs="Arial" w:eastAsia="Arial" w:hAnsi="Arial"/>
          <w:color w:val="1A1A2E"/>
          <w:sz w:val="22"/>
          <w:szCs w:val="22"/>
        </w:rPr>
        <w:t xml:space="preserve">¿Dónde son mayores los márgenes de reventa, y qué relación tienen con la competencia y la logística?</w:t>
      </w:r>
    </w:p>
    <w:p>
      <w:pPr>
        <w:pStyle w:val="ListParagraph"/>
        <w:numPr>
          <w:ilvl w:val="0"/>
          <w:numId w:val="2"/>
        </w:numPr>
        <w:spacing w:before="40" w:after="40" w:line="276"/>
      </w:pPr>
      <w:r>
        <w:rPr>
          <w:rFonts w:ascii="Arial" w:cs="Arial" w:eastAsia="Arial" w:hAnsi="Arial"/>
          <w:color w:val="1A1A2E"/>
          <w:sz w:val="22"/>
          <w:szCs w:val="22"/>
        </w:rPr>
        <w:t xml:space="preserve">¿Qué características particulares presenta el mercado de combustibles en la región amazónica?</w:t>
      </w:r>
    </w:p>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2. Descripción del Dataset y Variables</w:t>
      </w:r>
    </w:p>
    <w:p>
      <w:pPr>
        <w:spacing w:before="80" w:after="80" w:line="276"/>
        <w:jc w:val="both"/>
      </w:pPr>
      <w:r>
        <w:rPr>
          <w:rFonts w:ascii="Arial" w:cs="Arial" w:eastAsia="Arial" w:hAnsi="Arial"/>
          <w:b w:val="false"/>
          <w:bCs w:val="false"/>
          <w:color w:val="1A1A2E"/>
          <w:sz w:val="22"/>
          <w:szCs w:val="22"/>
        </w:rPr>
        <w:t xml:space="preserve">El dataset utilizado corresponde a la serie histórica de precios semanales de combustibles relevada por la ANP entre 2004 y 2021. Para este análisis se focalizó el período 2010–2021, que concentra los principales eventos del mercado: el período de estabilidad relativa (2010–2014), el ajuste tarifario de 2015, la huelga de camioneros de 2018 y la volatilidad posterior.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00471E"/>
                <w:sz w:val="20"/>
                <w:szCs w:val="20"/>
              </w:rPr>
              <w:t xml:space="preserve">Fuente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Agência Nacional do Petróleo (ANP) — Gas Prices in Brazil</w:t>
            </w:r>
          </w:p>
        </w:tc>
      </w:tr>
      <w:tr>
        <w:tc>
          <w:tcPr>
            <w:tcW w:type="dxa" w:w="25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00471E"/>
                <w:sz w:val="20"/>
                <w:szCs w:val="20"/>
              </w:rPr>
              <w:t xml:space="preserve">Cobertura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Semanal, 2004–2021 (18 años). Análisis enfocado en 2010–2021</w:t>
            </w:r>
          </w:p>
        </w:tc>
      </w:tr>
      <w:tr>
        <w:tc>
          <w:tcPr>
            <w:tcW w:type="dxa" w:w="25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00471E"/>
                <w:sz w:val="20"/>
                <w:szCs w:val="20"/>
              </w:rPr>
              <w:t xml:space="preserve">Geografía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27 estados · 5 regiones: Norte, Nordeste, Centro-Oeste, Sudeste, Sul</w:t>
            </w:r>
          </w:p>
        </w:tc>
      </w:tr>
      <w:tr>
        <w:tc>
          <w:tcPr>
            <w:tcW w:type="dxa" w:w="25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00471E"/>
                <w:sz w:val="20"/>
                <w:szCs w:val="20"/>
              </w:rPr>
              <w:t xml:space="preserve">Combustibles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Gasolina Común, Óleo Diesel, GLP, Etanol, GNV, Gasolina Aditivada</w:t>
            </w:r>
          </w:p>
        </w:tc>
      </w:tr>
      <w:tr>
        <w:tc>
          <w:tcPr>
            <w:tcW w:type="dxa" w:w="25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00471E"/>
                <w:sz w:val="20"/>
                <w:szCs w:val="20"/>
              </w:rPr>
              <w:t xml:space="preserve">Foco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Gasolina Común · Óleo Diesel · GLP (botijão 13 kg)</w:t>
            </w:r>
          </w:p>
        </w:tc>
      </w:tr>
      <w:tr>
        <w:tc>
          <w:tcPr>
            <w:tcW w:type="dxa" w:w="25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00471E"/>
                <w:sz w:val="20"/>
                <w:szCs w:val="20"/>
              </w:rPr>
              <w:t xml:space="preserve">Registros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Aprox. 120.000 filas semanales con datos por estado y producto</w:t>
            </w:r>
          </w:p>
        </w:tc>
      </w:tr>
    </w:tbl>
    <w:p>
      <w:pPr>
        <w:spacing w:before="200" w:after="0"/>
      </w:pPr>
      <w:r>
        <w:t xml:space="preserve"/>
      </w:r>
    </w:p>
    <w:p>
      <w:pPr>
        <w:pStyle w:val="Heading2"/>
        <w:spacing w:before="240" w:after="80"/>
      </w:pPr>
      <w:r>
        <w:rPr>
          <w:rFonts w:ascii="Arial" w:cs="Arial" w:eastAsia="Arial" w:hAnsi="Arial"/>
          <w:b/>
          <w:bCs/>
          <w:color w:val="009040"/>
          <w:sz w:val="24"/>
          <w:szCs w:val="24"/>
        </w:rPr>
        <w:t xml:space="preserve">Variables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00471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160"/>
            <w:tcBorders>
              <w:top w:val="single" w:color="CCCCCC" w:sz="1"/>
              <w:left w:val="single" w:color="CCCCCC" w:sz="1"/>
              <w:bottom w:val="single" w:color="CCCCCC" w:sz="1"/>
              <w:right w:val="single" w:color="CCCCCC" w:sz="1"/>
            </w:tcBorders>
            <w:shd w:fill="00471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000"/>
            <w:tcBorders>
              <w:top w:val="single" w:color="CCCCCC" w:sz="1"/>
              <w:left w:val="single" w:color="CCCCCC" w:sz="1"/>
              <w:bottom w:val="single" w:color="CCCCCC" w:sz="1"/>
              <w:right w:val="single" w:color="CCCCCC" w:sz="1"/>
            </w:tcBorders>
            <w:shd w:fill="00471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00471E"/>
                <w:sz w:val="19"/>
                <w:szCs w:val="19"/>
              </w:rPr>
              <w:t xml:space="preserve">DATA INICIAL / FINAL</w:t>
            </w:r>
          </w:p>
        </w:tc>
        <w:tc>
          <w:tcPr>
            <w:tcW w:type="dxa" w:w="2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Fecha</w:t>
            </w:r>
          </w:p>
        </w:tc>
        <w:tc>
          <w:tcPr>
            <w:tcW w:type="dxa" w:w="4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Período semanal del relevamiento de precios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471E"/>
                <w:sz w:val="19"/>
                <w:szCs w:val="19"/>
              </w:rPr>
              <w:t xml:space="preserve">REGIÃO / ESTADO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Texto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Ubicación geográfica del registro</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00471E"/>
                <w:sz w:val="19"/>
                <w:szCs w:val="19"/>
              </w:rPr>
              <w:t xml:space="preserve">PRODUTO</w:t>
            </w:r>
          </w:p>
        </w:tc>
        <w:tc>
          <w:tcPr>
            <w:tcW w:type="dxa" w:w="2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Texto</w:t>
            </w:r>
          </w:p>
        </w:tc>
        <w:tc>
          <w:tcPr>
            <w:tcW w:type="dxa" w:w="4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Tipo de combustible relevado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471E"/>
                <w:sz w:val="19"/>
                <w:szCs w:val="19"/>
              </w:rPr>
              <w:t xml:space="preserve">PREÇO MÉDIO REVENDA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Numérico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Precio promedio de venta al público (R$/litro o R$/13kg)</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00471E"/>
                <w:sz w:val="19"/>
                <w:szCs w:val="19"/>
              </w:rPr>
              <w:t xml:space="preserve">PREÇO MÉDIO DISTRIBUIÇÃO</w:t>
            </w:r>
          </w:p>
        </w:tc>
        <w:tc>
          <w:tcPr>
            <w:tcW w:type="dxa" w:w="2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Numérico</w:t>
            </w:r>
          </w:p>
        </w:tc>
        <w:tc>
          <w:tcPr>
            <w:tcW w:type="dxa" w:w="4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Precio promedio pagado al distribuidor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471E"/>
                <w:sz w:val="19"/>
                <w:szCs w:val="19"/>
              </w:rPr>
              <w:t xml:space="preserve">MARGEM MÉDIA REVENDA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Numérico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Margen promedio de reventa (diferencia revenda – distribuição)</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00471E"/>
                <w:sz w:val="19"/>
                <w:szCs w:val="19"/>
              </w:rPr>
              <w:t xml:space="preserve">Nº POSTOS PESQUISADOS</w:t>
            </w:r>
          </w:p>
        </w:tc>
        <w:tc>
          <w:tcPr>
            <w:tcW w:type="dxa" w:w="21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Numérico</w:t>
            </w:r>
          </w:p>
        </w:tc>
        <w:tc>
          <w:tcPr>
            <w:tcW w:type="dxa" w:w="40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A1A2E"/>
                <w:sz w:val="19"/>
                <w:szCs w:val="19"/>
              </w:rPr>
              <w:t xml:space="preserve">Cantidad de estaciones relevadas en el período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471E"/>
                <w:sz w:val="19"/>
                <w:szCs w:val="19"/>
              </w:rPr>
              <w:t xml:space="preserve">COEF. VARIAÇÃO REVENDA (%)</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Numérico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Coeficiente de variación de los precios de reventa</w:t>
            </w:r>
          </w:p>
        </w:tc>
      </w:tr>
    </w:tbl>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3. Información Adicional Recolectada</w:t>
      </w:r>
    </w:p>
    <w:p>
      <w:pPr>
        <w:spacing w:before="80" w:after="80" w:line="276"/>
        <w:jc w:val="both"/>
      </w:pPr>
      <w:r>
        <w:rPr>
          <w:rFonts w:ascii="Arial" w:cs="Arial" w:eastAsia="Arial" w:hAnsi="Arial"/>
          <w:b w:val="false"/>
          <w:bCs w:val="false"/>
          <w:color w:val="1A1A2E"/>
          <w:sz w:val="22"/>
          <w:szCs w:val="22"/>
        </w:rPr>
        <w:t xml:space="preserve">Para complementar el análisis del dataset ANP, se incorporó información proveniente del sitio brasilgas.nievas.dev, que publica datos actualizados sobre la distribución actual de estaciones de servicio por estado en Brasil. Esta fuente permitió obtener una fotografía del período más reciente con un total de 11.405 estaciones relevadas, superando la cobertura del dataset histórico para el análisis de distribución geográfica.</w:t>
      </w:r>
    </w:p>
    <w:p>
      <w:pPr>
        <w:spacing w:before="80" w:after="0"/>
      </w:pPr>
      <w:r>
        <w:t xml:space="preserve"/>
      </w:r>
    </w:p>
    <w:p>
      <w:pPr>
        <w:spacing w:before="80" w:after="80" w:line="276"/>
        <w:jc w:val="both"/>
      </w:pPr>
      <w:r>
        <w:rPr>
          <w:rFonts w:ascii="Arial" w:cs="Arial" w:eastAsia="Arial" w:hAnsi="Arial"/>
          <w:b w:val="false"/>
          <w:bCs w:val="false"/>
          <w:color w:val="1A1A2E"/>
          <w:sz w:val="22"/>
          <w:szCs w:val="22"/>
        </w:rPr>
        <w:t xml:space="preserve">Adicionalmente, se consideró contexto macroeconómico y regulatorio de Brasil para interpretar los principales puntos de inflexión observados en la serie de precios:</w:t>
      </w:r>
    </w:p>
    <w:p>
      <w:pPr>
        <w:spacing w:before="6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2012–2014:</w:t>
      </w:r>
      <w:r>
        <w:rPr>
          <w:rFonts w:ascii="Arial" w:cs="Arial" w:eastAsia="Arial" w:hAnsi="Arial"/>
          <w:color w:val="1A1A2E"/>
          <w:sz w:val="22"/>
          <w:szCs w:val="22"/>
        </w:rPr>
        <w:t xml:space="preserve"> Período de congelamiento tarifario (2012–2014) bajo política de precios controlados de Petrobras, que artificialmente moderó los precios al público.</w:t>
      </w:r>
    </w:p>
    <w:p>
      <w:pPr>
        <w:pStyle w:val="ListParagraph"/>
        <w:numPr>
          <w:ilvl w:val="0"/>
          <w:numId w:val="2"/>
        </w:numPr>
        <w:spacing w:before="40" w:after="40" w:line="276"/>
      </w:pPr>
      <w:r>
        <w:rPr>
          <w:rFonts w:ascii="Arial" w:cs="Arial" w:eastAsia="Arial" w:hAnsi="Arial"/>
          <w:b/>
          <w:bCs/>
          <w:color w:val="00471E"/>
          <w:sz w:val="22"/>
          <w:szCs w:val="22"/>
        </w:rPr>
        <w:t xml:space="preserve">2015:</w:t>
      </w:r>
      <w:r>
        <w:rPr>
          <w:rFonts w:ascii="Arial" w:cs="Arial" w:eastAsia="Arial" w:hAnsi="Arial"/>
          <w:color w:val="1A1A2E"/>
          <w:sz w:val="22"/>
          <w:szCs w:val="22"/>
        </w:rPr>
        <w:t xml:space="preserve"> Ajuste de tarifas de combustibles implementado por el Gobierno Federal, que generó un salto significativo en los precios de todos los productos.</w:t>
      </w:r>
    </w:p>
    <w:p>
      <w:pPr>
        <w:pStyle w:val="ListParagraph"/>
        <w:numPr>
          <w:ilvl w:val="0"/>
          <w:numId w:val="2"/>
        </w:numPr>
        <w:spacing w:before="40" w:after="40" w:line="276"/>
      </w:pPr>
      <w:r>
        <w:rPr>
          <w:rFonts w:ascii="Arial" w:cs="Arial" w:eastAsia="Arial" w:hAnsi="Arial"/>
          <w:b/>
          <w:bCs/>
          <w:color w:val="00471E"/>
          <w:sz w:val="22"/>
          <w:szCs w:val="22"/>
        </w:rPr>
        <w:t xml:space="preserve">2018:</w:t>
      </w:r>
      <w:r>
        <w:rPr>
          <w:rFonts w:ascii="Arial" w:cs="Arial" w:eastAsia="Arial" w:hAnsi="Arial"/>
          <w:color w:val="1A1A2E"/>
          <w:sz w:val="22"/>
          <w:szCs w:val="22"/>
        </w:rPr>
        <w:t xml:space="preserve"> Huelga nacional de camioneros que paralizó la distribución de combustibles durante varios días, generando desabastecimiento y un alza pronunciada en los precios, especialmente del Diesel.</w:t>
      </w:r>
    </w:p>
    <w:p>
      <w:pPr>
        <w:pStyle w:val="ListParagraph"/>
        <w:numPr>
          <w:ilvl w:val="0"/>
          <w:numId w:val="2"/>
        </w:numPr>
        <w:spacing w:before="40" w:after="40" w:line="276"/>
      </w:pPr>
      <w:r>
        <w:rPr>
          <w:rFonts w:ascii="Arial" w:cs="Arial" w:eastAsia="Arial" w:hAnsi="Arial"/>
          <w:b/>
          <w:bCs/>
          <w:color w:val="00471E"/>
          <w:sz w:val="22"/>
          <w:szCs w:val="22"/>
        </w:rPr>
        <w:t xml:space="preserve">2020–2021:</w:t>
      </w:r>
      <w:r>
        <w:rPr>
          <w:rFonts w:ascii="Arial" w:cs="Arial" w:eastAsia="Arial" w:hAnsi="Arial"/>
          <w:color w:val="1A1A2E"/>
          <w:sz w:val="22"/>
          <w:szCs w:val="22"/>
        </w:rPr>
        <w:t xml:space="preserve"> Pandemia de COVID-19 que redujo la demanda y presionó transitoriamente los precios a la baja antes de la recuperación en 2021.</w:t>
      </w:r>
    </w:p>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4. Supuestos Relevantes</w:t>
      </w:r>
    </w:p>
    <w:p>
      <w:pPr>
        <w:pStyle w:val="ListParagraph"/>
        <w:numPr>
          <w:ilvl w:val="0"/>
          <w:numId w:val="2"/>
        </w:numPr>
        <w:spacing w:before="40" w:after="40" w:line="276"/>
      </w:pPr>
      <w:r>
        <w:rPr>
          <w:rFonts w:ascii="Arial" w:cs="Arial" w:eastAsia="Arial" w:hAnsi="Arial"/>
          <w:color w:val="1A1A2E"/>
          <w:sz w:val="22"/>
          <w:szCs w:val="22"/>
        </w:rPr>
        <w:t xml:space="preserve">Se filtraron registros con margen de reventa negativo o igual a cero, que corresponden a semanas sin datos válidos o errores de carga en el dataset original.</w:t>
      </w:r>
    </w:p>
    <w:p>
      <w:pPr>
        <w:pStyle w:val="ListParagraph"/>
        <w:numPr>
          <w:ilvl w:val="0"/>
          <w:numId w:val="2"/>
        </w:numPr>
        <w:spacing w:before="40" w:after="40" w:line="276"/>
      </w:pPr>
      <w:r>
        <w:rPr>
          <w:rFonts w:ascii="Arial" w:cs="Arial" w:eastAsia="Arial" w:hAnsi="Arial"/>
          <w:color w:val="1A1A2E"/>
          <w:sz w:val="22"/>
          <w:szCs w:val="22"/>
        </w:rPr>
        <w:t xml:space="preserve">Los precios del GLP se expresan en R$ por botijão de 13 kg, unidad estándar en Brasil, y no en R$/litro como el resto de los combustibles líquidos.</w:t>
      </w:r>
    </w:p>
    <w:p>
      <w:pPr>
        <w:pStyle w:val="ListParagraph"/>
        <w:numPr>
          <w:ilvl w:val="0"/>
          <w:numId w:val="2"/>
        </w:numPr>
        <w:spacing w:before="40" w:after="40" w:line="276"/>
      </w:pPr>
      <w:r>
        <w:rPr>
          <w:rFonts w:ascii="Arial" w:cs="Arial" w:eastAsia="Arial" w:hAnsi="Arial"/>
          <w:color w:val="1A1A2E"/>
          <w:sz w:val="22"/>
          <w:szCs w:val="22"/>
        </w:rPr>
        <w:t xml:space="preserve">El análisis de distribución de estaciones utiliza como fuente principal la base actualizada de brasilgas.nievas.dev (11.405 estaciones), que refleja el período más reciente, en lugar del dato histórico del dataset ANP.</w:t>
      </w:r>
    </w:p>
    <w:p>
      <w:pPr>
        <w:pStyle w:val="ListParagraph"/>
        <w:numPr>
          <w:ilvl w:val="0"/>
          <w:numId w:val="2"/>
        </w:numPr>
        <w:spacing w:before="40" w:after="40" w:line="276"/>
      </w:pPr>
      <w:r>
        <w:rPr>
          <w:rFonts w:ascii="Arial" w:cs="Arial" w:eastAsia="Arial" w:hAnsi="Arial"/>
          <w:color w:val="1A1A2E"/>
          <w:sz w:val="22"/>
          <w:szCs w:val="22"/>
        </w:rPr>
        <w:t xml:space="preserve">Para el análisis de evolución de precios se utilizó el promedio anual de PREÇO MÉDIO REVENDA agrupado por año y producto, ignorando la granularidad semanal para simplificar la narrativa.</w:t>
      </w:r>
    </w:p>
    <w:p>
      <w:pPr>
        <w:pStyle w:val="ListParagraph"/>
        <w:numPr>
          <w:ilvl w:val="0"/>
          <w:numId w:val="2"/>
        </w:numPr>
        <w:spacing w:before="40" w:after="40" w:line="276"/>
      </w:pPr>
      <w:r>
        <w:rPr>
          <w:rFonts w:ascii="Arial" w:cs="Arial" w:eastAsia="Arial" w:hAnsi="Arial"/>
          <w:color w:val="1A1A2E"/>
          <w:sz w:val="22"/>
          <w:szCs w:val="22"/>
        </w:rPr>
        <w:t xml:space="preserve">El análisis de márgenes de reventa histórico corresponde al promedio de toda la serie disponible para Gasolina Común, como indicador de la rentabilidad estructural por estado.</w:t>
      </w:r>
    </w:p>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5. Principales Hallazgos del Análisis</w:t>
      </w:r>
    </w:p>
    <w:p>
      <w:pPr>
        <w:pStyle w:val="Heading2"/>
        <w:spacing w:before="240" w:after="80"/>
      </w:pPr>
      <w:r>
        <w:rPr>
          <w:rFonts w:ascii="Arial" w:cs="Arial" w:eastAsia="Arial" w:hAnsi="Arial"/>
          <w:b/>
          <w:bCs/>
          <w:color w:val="009040"/>
          <w:sz w:val="24"/>
          <w:szCs w:val="24"/>
        </w:rPr>
        <w:t xml:space="preserve">5.1 Distribución geográfica de estaciones</w:t>
      </w:r>
    </w:p>
    <w:p>
      <w:pPr>
        <w:spacing w:before="80" w:after="80" w:line="276"/>
        <w:jc w:val="both"/>
      </w:pPr>
      <w:r>
        <w:rPr>
          <w:rFonts w:ascii="Arial" w:cs="Arial" w:eastAsia="Arial" w:hAnsi="Arial"/>
          <w:b w:val="false"/>
          <w:bCs w:val="false"/>
          <w:color w:val="1A1A2E"/>
          <w:sz w:val="22"/>
          <w:szCs w:val="22"/>
        </w:rPr>
        <w:t xml:space="preserve">La distribución de estaciones de servicio en Brasil es marcadamente desigual. São Paulo concentra 3.516 estaciones — más que todos los estados de la región Norte combinados (974 en total) —, mientras que Roraima (47) y Amapá (65) son los estados con menor infraestructura del país.</w:t>
      </w:r>
    </w:p>
    <w:p>
      <w:pPr>
        <w:spacing w:before="60" w:after="0"/>
      </w:pPr>
      <w:r>
        <w:t xml:space="preserve"/>
      </w:r>
    </w:p>
    <w:p>
      <w:pPr>
        <w:spacing w:before="80" w:after="80" w:line="276"/>
        <w:jc w:val="both"/>
      </w:pPr>
      <w:r>
        <w:rPr>
          <w:rFonts w:ascii="Arial" w:cs="Arial" w:eastAsia="Arial" w:hAnsi="Arial"/>
          <w:b w:val="false"/>
          <w:bCs w:val="false"/>
          <w:color w:val="1A1A2E"/>
          <w:sz w:val="22"/>
          <w:szCs w:val="22"/>
        </w:rPr>
        <w:t xml:space="preserve">A nivel regional, el Sudeste agrupa el 48,5% de las estaciones (5.527 de 11.405), seguido por Sul (16,8%) y Nordeste (16,7%). La región Norte, a pesar de ser la más extensa geográficamente, concentra apenas el 8,5% de la infraestructura total.</w:t>
      </w:r>
    </w:p>
    <w:p>
      <w:pPr>
        <w:spacing w:before="120" w:after="0"/>
      </w:pPr>
      <w:r>
        <w:t xml:space="preserve"/>
      </w:r>
    </w:p>
    <w:p>
      <w:pPr>
        <w:pStyle w:val="Heading2"/>
        <w:spacing w:before="240" w:after="80"/>
      </w:pPr>
      <w:r>
        <w:rPr>
          <w:rFonts w:ascii="Arial" w:cs="Arial" w:eastAsia="Arial" w:hAnsi="Arial"/>
          <w:b/>
          <w:bCs/>
          <w:color w:val="009040"/>
          <w:sz w:val="24"/>
          <w:szCs w:val="24"/>
        </w:rPr>
        <w:t xml:space="preserve">5.2 Evolución de precios 2010–2021</w:t>
      </w:r>
    </w:p>
    <w:p>
      <w:pPr>
        <w:spacing w:before="80" w:after="80" w:line="276"/>
        <w:jc w:val="both"/>
      </w:pPr>
      <w:r>
        <w:rPr>
          <w:rFonts w:ascii="Arial" w:cs="Arial" w:eastAsia="Arial" w:hAnsi="Arial"/>
          <w:b w:val="false"/>
          <w:bCs w:val="false"/>
          <w:color w:val="1A1A2E"/>
          <w:sz w:val="22"/>
          <w:szCs w:val="22"/>
        </w:rPr>
        <w:t xml:space="preserve">Los tres combustibles analizados registraron incrementos sostenidos durante el período, con dos puntos de inflexión claramente identificables:</w:t>
      </w:r>
    </w:p>
    <w:p>
      <w:pPr>
        <w:spacing w:before="6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Óleo Diesel:</w:t>
      </w:r>
      <w:r>
        <w:rPr>
          <w:rFonts w:ascii="Arial" w:cs="Arial" w:eastAsia="Arial" w:hAnsi="Arial"/>
          <w:color w:val="1A1A2E"/>
          <w:sz w:val="22"/>
          <w:szCs w:val="22"/>
        </w:rPr>
        <w:t xml:space="preserve"> Diesel: de R$2,06/litro en 2010 a R$4,15/litro en 2021 (+101%). Es el combustible más sensible a la política de Petrobras por su rol en el transporte de carga.</w:t>
      </w:r>
    </w:p>
    <w:p>
      <w:pPr>
        <w:pStyle w:val="ListParagraph"/>
        <w:numPr>
          <w:ilvl w:val="0"/>
          <w:numId w:val="2"/>
        </w:numPr>
        <w:spacing w:before="40" w:after="40" w:line="276"/>
      </w:pPr>
      <w:r>
        <w:rPr>
          <w:rFonts w:ascii="Arial" w:cs="Arial" w:eastAsia="Arial" w:hAnsi="Arial"/>
          <w:b/>
          <w:bCs/>
          <w:color w:val="00471E"/>
          <w:sz w:val="22"/>
          <w:szCs w:val="22"/>
        </w:rPr>
        <w:t xml:space="preserve">GLP:</w:t>
      </w:r>
      <w:r>
        <w:rPr>
          <w:rFonts w:ascii="Arial" w:cs="Arial" w:eastAsia="Arial" w:hAnsi="Arial"/>
          <w:color w:val="1A1A2E"/>
          <w:sz w:val="22"/>
          <w:szCs w:val="22"/>
        </w:rPr>
        <w:t xml:space="preserve"> GLP: de R$38,69 a R$84,92 por botijão (+120%). Su alza impacta especialmente en los hogares de menores ingresos que dependen del gas de cocina.</w:t>
      </w:r>
    </w:p>
    <w:p>
      <w:pPr>
        <w:pStyle w:val="ListParagraph"/>
        <w:numPr>
          <w:ilvl w:val="0"/>
          <w:numId w:val="2"/>
        </w:numPr>
        <w:spacing w:before="40" w:after="40" w:line="276"/>
      </w:pPr>
      <w:r>
        <w:rPr>
          <w:rFonts w:ascii="Arial" w:cs="Arial" w:eastAsia="Arial" w:hAnsi="Arial"/>
          <w:b/>
          <w:bCs/>
          <w:color w:val="00471E"/>
          <w:sz w:val="22"/>
          <w:szCs w:val="22"/>
        </w:rPr>
        <w:t xml:space="preserve">Gasolina Común:</w:t>
      </w:r>
      <w:r>
        <w:rPr>
          <w:rFonts w:ascii="Arial" w:cs="Arial" w:eastAsia="Arial" w:hAnsi="Arial"/>
          <w:color w:val="1A1A2E"/>
          <w:sz w:val="22"/>
          <w:szCs w:val="22"/>
        </w:rPr>
        <w:t xml:space="preserve"> Gasolina: de R$2,66/litro a R$5,18/litro (+95%). Combustible mayoritario en la flota particular.</w:t>
      </w:r>
    </w:p>
    <w:p>
      <w:pPr>
        <w:spacing w:before="60" w:after="0"/>
      </w:pPr>
      <w:r>
        <w:t xml:space="preserve"/>
      </w:r>
    </w:p>
    <w:p>
      <w:pPr>
        <w:spacing w:before="80" w:after="80" w:line="276"/>
        <w:jc w:val="both"/>
      </w:pPr>
      <w:r>
        <w:rPr>
          <w:rFonts w:ascii="Arial" w:cs="Arial" w:eastAsia="Arial" w:hAnsi="Arial"/>
          <w:b w:val="false"/>
          <w:bCs w:val="false"/>
          <w:color w:val="1A1A2E"/>
          <w:sz w:val="22"/>
          <w:szCs w:val="22"/>
        </w:rPr>
        <w:t xml:space="preserve">El ajuste tarifario de 2015 generó un salto visible en las tres curvas. La huelga de camioneros de 2018 provocó una perturbación especialmente pronunciada en el precio del Diesel. En 2020, la reducción de la demanda por la pandemia produjo una caída transitoria antes de la recuperación de 2021.</w:t>
      </w:r>
    </w:p>
    <w:p>
      <w:pPr>
        <w:spacing w:before="120" w:after="0"/>
      </w:pPr>
      <w:r>
        <w:t xml:space="preserve"/>
      </w:r>
    </w:p>
    <w:p>
      <w:pPr>
        <w:pStyle w:val="Heading2"/>
        <w:spacing w:before="240" w:after="80"/>
      </w:pPr>
      <w:r>
        <w:rPr>
          <w:rFonts w:ascii="Arial" w:cs="Arial" w:eastAsia="Arial" w:hAnsi="Arial"/>
          <w:b/>
          <w:bCs/>
          <w:color w:val="009040"/>
          <w:sz w:val="24"/>
          <w:szCs w:val="24"/>
        </w:rPr>
        <w:t xml:space="preserve">5.3 Regiones y estados con precios más elevados</w:t>
      </w:r>
    </w:p>
    <w:p>
      <w:pPr>
        <w:spacing w:before="80" w:after="80" w:line="276"/>
        <w:jc w:val="both"/>
      </w:pPr>
      <w:r>
        <w:rPr>
          <w:rFonts w:ascii="Arial" w:cs="Arial" w:eastAsia="Arial" w:hAnsi="Arial"/>
          <w:b w:val="false"/>
          <w:bCs w:val="false"/>
          <w:color w:val="1A1A2E"/>
          <w:sz w:val="22"/>
          <w:szCs w:val="22"/>
        </w:rPr>
        <w:t xml:space="preserve">La región Norte presenta históricamente los precios más altos del país para todos los combustibles. En 2021, el estado más caro fue Acre con R$5,79/litro de Gasolina Común, seguido por Río de Janeiro (R$5,63) y Tocantins (R$5,45). El promedio nacional fue de R$5,06/litro.</w:t>
      </w:r>
    </w:p>
    <w:p>
      <w:pPr>
        <w:spacing w:before="60" w:after="0"/>
      </w:pPr>
      <w:r>
        <w:t xml:space="preserve"/>
      </w:r>
    </w:p>
    <w:p>
      <w:pPr>
        <w:spacing w:before="80" w:after="80" w:line="276"/>
        <w:jc w:val="both"/>
      </w:pPr>
      <w:r>
        <w:rPr>
          <w:rFonts w:ascii="Arial" w:cs="Arial" w:eastAsia="Arial" w:hAnsi="Arial"/>
          <w:b w:val="false"/>
          <w:bCs w:val="false"/>
          <w:color w:val="1A1A2E"/>
          <w:sz w:val="22"/>
          <w:szCs w:val="22"/>
        </w:rPr>
        <w:t xml:space="preserve">Las causas estructurales son múltiples: la distancia a las refinerías, la dependencia de logística fluvial en la Amazonia, la baja competencia por escasez de estaciones, y los costos de infraestructura propios de regiones remotas.</w:t>
      </w:r>
    </w:p>
    <w:p>
      <w:pPr>
        <w:spacing w:before="120" w:after="0"/>
      </w:pPr>
      <w:r>
        <w:t xml:space="preserve"/>
      </w:r>
    </w:p>
    <w:p>
      <w:pPr>
        <w:pStyle w:val="Heading2"/>
        <w:spacing w:before="240" w:after="80"/>
      </w:pPr>
      <w:r>
        <w:rPr>
          <w:rFonts w:ascii="Arial" w:cs="Arial" w:eastAsia="Arial" w:hAnsi="Arial"/>
          <w:b/>
          <w:bCs/>
          <w:color w:val="009040"/>
          <w:sz w:val="24"/>
          <w:szCs w:val="24"/>
        </w:rPr>
        <w:t xml:space="preserve">5.4 Márgenes de reventa</w:t>
      </w:r>
    </w:p>
    <w:p>
      <w:pPr>
        <w:spacing w:before="80" w:after="80" w:line="276"/>
        <w:jc w:val="both"/>
      </w:pPr>
      <w:r>
        <w:rPr>
          <w:rFonts w:ascii="Arial" w:cs="Arial" w:eastAsia="Arial" w:hAnsi="Arial"/>
          <w:b w:val="false"/>
          <w:bCs w:val="false"/>
          <w:color w:val="1A1A2E"/>
          <w:sz w:val="22"/>
          <w:szCs w:val="22"/>
        </w:rPr>
        <w:t xml:space="preserve">Los estados del Norte lideran los márgenes de reventa de Gasolina Común: Acre (R$0,570/litro), Tocantins (R$0,507), Mato Grosso (R$0,495) y Rondônia (R$0,480). En el extremo opuesto, Amapá (R$0,322), Paraná (R$0,325) y Paraíba (R$0,339) presentan los márgenes más bajos.</w:t>
      </w:r>
    </w:p>
    <w:p>
      <w:pPr>
        <w:spacing w:before="60" w:after="0"/>
      </w:pPr>
      <w:r>
        <w:t xml:space="preserve"/>
      </w:r>
    </w:p>
    <w:p>
      <w:pPr>
        <w:spacing w:before="80" w:after="80" w:line="276"/>
        <w:jc w:val="both"/>
      </w:pPr>
      <w:r>
        <w:rPr>
          <w:rFonts w:ascii="Arial" w:cs="Arial" w:eastAsia="Arial" w:hAnsi="Arial"/>
          <w:b w:val="false"/>
          <w:bCs w:val="false"/>
          <w:color w:val="1A1A2E"/>
          <w:sz w:val="22"/>
          <w:szCs w:val="22"/>
        </w:rPr>
        <w:t xml:space="preserve">Esta relación inversa entre densidad de estaciones y margen de reventa es consistente: a mayor número de estaciones y mayor competencia entre distribuidores, menores son los márgenes. El Sur y el Sudeste, con alta densidad de infraestructura, operan con márgenes estructuralmente más ajustados.</w:t>
      </w:r>
    </w:p>
    <w:p>
      <w:pPr>
        <w:spacing w:before="120" w:after="0"/>
      </w:pPr>
      <w:r>
        <w:t xml:space="preserve"/>
      </w:r>
    </w:p>
    <w:p>
      <w:pPr>
        <w:pStyle w:val="Heading2"/>
        <w:spacing w:before="240" w:after="80"/>
      </w:pPr>
      <w:r>
        <w:rPr>
          <w:rFonts w:ascii="Arial" w:cs="Arial" w:eastAsia="Arial" w:hAnsi="Arial"/>
          <w:b/>
          <w:bCs/>
          <w:color w:val="009040"/>
          <w:sz w:val="24"/>
          <w:szCs w:val="24"/>
        </w:rPr>
        <w:t xml:space="preserve">5.5 Mercado amazónico — Región Norte</w:t>
      </w:r>
    </w:p>
    <w:p>
      <w:pPr>
        <w:spacing w:before="80" w:after="80" w:line="276"/>
        <w:jc w:val="both"/>
      </w:pPr>
      <w:r>
        <w:rPr>
          <w:rFonts w:ascii="Arial" w:cs="Arial" w:eastAsia="Arial" w:hAnsi="Arial"/>
          <w:b w:val="false"/>
          <w:bCs w:val="false"/>
          <w:color w:val="1A1A2E"/>
          <w:sz w:val="22"/>
          <w:szCs w:val="22"/>
        </w:rPr>
        <w:t xml:space="preserve">La región Norte presenta una paradoja estructural: es la región de mayor extensión territorial del país y al mismo tiempo la de menor densidad de infraestructura de combustibles. El acceso en gran parte del territorio depende de vías fluviales, lo que encarece significativamente la logística y el precio final al consumidor.</w:t>
      </w:r>
    </w:p>
    <w:p>
      <w:pPr>
        <w:spacing w:before="60" w:after="0"/>
      </w:pPr>
      <w:r>
        <w:t xml:space="preserve"/>
      </w:r>
    </w:p>
    <w:p>
      <w:pPr>
        <w:spacing w:before="80" w:after="80" w:line="276"/>
        <w:jc w:val="both"/>
      </w:pPr>
      <w:r>
        <w:rPr>
          <w:rFonts w:ascii="Arial" w:cs="Arial" w:eastAsia="Arial" w:hAnsi="Arial"/>
          <w:b w:val="false"/>
          <w:bCs w:val="false"/>
          <w:color w:val="1A1A2E"/>
          <w:sz w:val="22"/>
          <w:szCs w:val="22"/>
        </w:rPr>
        <w:t xml:space="preserve">En 2021, todos los estados de la región Norte registraron precios de Gasolina Común por encima del promedio nacional. Amapá es la excepción relativa: tiene la menor cantidad de estaciones (65) pero un precio más moderado (R$4,46/litro) por su acceso desde el Nordeste. Roraima (47 estaciones) y Acre (131 estaciones) representan los casos más críticos.</w:t>
      </w:r>
    </w:p>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6. Sugerencias y Conclusiones para el Cliente</w:t>
      </w:r>
    </w:p>
    <w:p>
      <w:pPr>
        <w:spacing w:before="80" w:after="80" w:line="276"/>
        <w:jc w:val="both"/>
      </w:pPr>
      <w:r>
        <w:rPr>
          <w:rFonts w:ascii="Arial" w:cs="Arial" w:eastAsia="Arial" w:hAnsi="Arial"/>
          <w:b w:val="false"/>
          <w:bCs w:val="false"/>
          <w:color w:val="1A1A2E"/>
          <w:sz w:val="22"/>
          <w:szCs w:val="22"/>
        </w:rPr>
        <w:t xml:space="preserve">A partir del análisis realizado, el equipo consultor formula las siguientes recomendaciones al Gobierno Federal de Brasil:</w:t>
      </w:r>
    </w:p>
    <w:p>
      <w:pPr>
        <w:spacing w:before="8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Reducir la brecha geográfica de precios:</w:t>
      </w:r>
      <w:r>
        <w:rPr>
          <w:rFonts w:ascii="Arial" w:cs="Arial" w:eastAsia="Arial" w:hAnsi="Arial"/>
          <w:color w:val="1A1A2E"/>
          <w:sz w:val="22"/>
          <w:szCs w:val="22"/>
        </w:rPr>
        <w:t xml:space="preserve"> La brecha de precios entre el Norte y el resto del país tiene raíces logísticas y de competencia que requieren política pública activa: inversión en infraestructura vial y fluvial, incentivos para la apertura de nuevas estaciones y fortalecimiento de rutas de distribución hacia estados remotos.</w:t>
      </w:r>
    </w:p>
    <w:p>
      <w:pPr>
        <w:spacing w:before="4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Política de subsidio para GLP:</w:t>
      </w:r>
      <w:r>
        <w:rPr>
          <w:rFonts w:ascii="Arial" w:cs="Arial" w:eastAsia="Arial" w:hAnsi="Arial"/>
          <w:color w:val="1A1A2E"/>
          <w:sz w:val="22"/>
          <w:szCs w:val="22"/>
        </w:rPr>
        <w:t xml:space="preserve"> El GLP registró el mayor aumento relativo (+120% entre 2010 y 2021) y es el combustible más utilizado por los hogares más vulnerables. Se recomienda evaluar mecanismos de subsidio o tarifa social diferenciada para este producto en regiones con menor acceso al gas natural por red.</w:t>
      </w:r>
    </w:p>
    <w:p>
      <w:pPr>
        <w:spacing w:before="4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Resiliencia ante disrupciones logísticas:</w:t>
      </w:r>
      <w:r>
        <w:rPr>
          <w:rFonts w:ascii="Arial" w:cs="Arial" w:eastAsia="Arial" w:hAnsi="Arial"/>
          <w:color w:val="1A1A2E"/>
          <w:sz w:val="22"/>
          <w:szCs w:val="22"/>
        </w:rPr>
        <w:t xml:space="preserve"> La huelga de 2018 evidenció la fragilidad del sistema de abastecimiento en regiones sin reservas estratégicas locales. Se recomienda desarrollar capacidades de almacenamiento distribuido, especialmente en estados del Norte.</w:t>
      </w:r>
    </w:p>
    <w:p>
      <w:pPr>
        <w:spacing w:before="4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Fomentar la competencia en zonas remotas:</w:t>
      </w:r>
      <w:r>
        <w:rPr>
          <w:rFonts w:ascii="Arial" w:cs="Arial" w:eastAsia="Arial" w:hAnsi="Arial"/>
          <w:color w:val="1A1A2E"/>
          <w:sz w:val="22"/>
          <w:szCs w:val="22"/>
        </w:rPr>
        <w:t xml:space="preserve"> La baja densidad de estaciones en el Norte no solo impacta en precios más altos, sino también en márgenes excesivos que desincentivan la eficiencia. Programas de fomento a la apertura de nuevos puntos de venta en zonas de baja competencia pueden contribuir a moderar ambas variables.</w:t>
      </w:r>
    </w:p>
    <w:p>
      <w:pPr>
        <w:spacing w:before="40" w:after="0"/>
      </w:pPr>
      <w:r>
        <w:t xml:space="preserve"/>
      </w:r>
    </w:p>
    <w:p>
      <w:pPr>
        <w:pStyle w:val="ListParagraph"/>
        <w:numPr>
          <w:ilvl w:val="0"/>
          <w:numId w:val="2"/>
        </w:numPr>
        <w:spacing w:before="40" w:after="40" w:line="276"/>
      </w:pPr>
      <w:r>
        <w:rPr>
          <w:rFonts w:ascii="Arial" w:cs="Arial" w:eastAsia="Arial" w:hAnsi="Arial"/>
          <w:b/>
          <w:bCs/>
          <w:color w:val="00471E"/>
          <w:sz w:val="22"/>
          <w:szCs w:val="22"/>
        </w:rPr>
        <w:t xml:space="preserve">Monitoreo continuo:</w:t>
      </w:r>
      <w:r>
        <w:rPr>
          <w:rFonts w:ascii="Arial" w:cs="Arial" w:eastAsia="Arial" w:hAnsi="Arial"/>
          <w:color w:val="1A1A2E"/>
          <w:sz w:val="22"/>
          <w:szCs w:val="22"/>
        </w:rPr>
        <w:t xml:space="preserve"> La continuidad del dataset ANP es fundamental para el monitoreo de estas brechas. Se recomienda mantener y fortalecer el sistema de relevamiento semanal de precios y ampliar su cobertura a nuevas variables, como el stock de combustible por estado.</w:t>
      </w:r>
    </w:p>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7. Decisiones de Diseño en las Visualizaciones</w:t>
      </w:r>
    </w:p>
    <w:p>
      <w:pPr>
        <w:pStyle w:val="Heading2"/>
        <w:spacing w:before="240" w:after="80"/>
      </w:pPr>
      <w:r>
        <w:rPr>
          <w:rFonts w:ascii="Arial" w:cs="Arial" w:eastAsia="Arial" w:hAnsi="Arial"/>
          <w:b/>
          <w:bCs/>
          <w:color w:val="009040"/>
          <w:sz w:val="24"/>
          <w:szCs w:val="24"/>
        </w:rPr>
        <w:t xml:space="preserve">7.1 Paleta de colores y identidad visual</w:t>
      </w:r>
    </w:p>
    <w:p>
      <w:pPr>
        <w:spacing w:before="80" w:after="80" w:line="276"/>
        <w:jc w:val="both"/>
      </w:pPr>
      <w:r>
        <w:rPr>
          <w:rFonts w:ascii="Arial" w:cs="Arial" w:eastAsia="Arial" w:hAnsi="Arial"/>
          <w:b w:val="false"/>
          <w:bCs w:val="false"/>
          <w:color w:val="1A1A2E"/>
          <w:sz w:val="22"/>
          <w:szCs w:val="22"/>
        </w:rPr>
        <w:t xml:space="preserve">La presentación adopta los colores de la bandera de Brasil (verde oscuro, verde medio y amarillo dorado) como paleta principal, reforzando la identidad del cliente y aportando coherencia visual a lo largo de todas las diapositivas. El verde oscuro (#00471E) se utiliza para cabeceras y elementos de alto peso visual; el verde medio (#00903A) para gráficos y acentos; y el amarillo (#F5C518) como acento en números destacados y títulos de conclusión.</w:t>
      </w:r>
    </w:p>
    <w:p>
      <w:pPr>
        <w:spacing w:before="80" w:after="0"/>
      </w:pPr>
      <w:r>
        <w:t xml:space="preserve"/>
      </w:r>
    </w:p>
    <w:p>
      <w:pPr>
        <w:pStyle w:val="Heading2"/>
        <w:spacing w:before="240" w:after="80"/>
      </w:pPr>
      <w:r>
        <w:rPr>
          <w:rFonts w:ascii="Arial" w:cs="Arial" w:eastAsia="Arial" w:hAnsi="Arial"/>
          <w:b/>
          <w:bCs/>
          <w:color w:val="009040"/>
          <w:sz w:val="24"/>
          <w:szCs w:val="24"/>
        </w:rPr>
        <w:t xml:space="preserve">7.2 Gráfico de barras horizontales — distribución por estado</w:t>
      </w:r>
    </w:p>
    <w:p>
      <w:pPr>
        <w:spacing w:before="80" w:after="80" w:line="276"/>
        <w:jc w:val="both"/>
      </w:pPr>
      <w:r>
        <w:rPr>
          <w:rFonts w:ascii="Arial" w:cs="Arial" w:eastAsia="Arial" w:hAnsi="Arial"/>
          <w:b w:val="false"/>
          <w:bCs w:val="false"/>
          <w:color w:val="1A1A2E"/>
          <w:sz w:val="22"/>
          <w:szCs w:val="22"/>
        </w:rPr>
        <w:t xml:space="preserve">Se eligió un gráfico de barras horizontales para la distribución de estaciones por estado, ordenado de mayor a menor. Esta orientación permite leer con comodidad los nombres completos de los 27 estados sin rotación del texto, y facilita la comparación visual directa. El color de cada barra corresponde a la región geográfica del estado, lo que añade una dimensión categórica sin necesidad de un gráfico adicional. La leyenda se posicionó en la esquina inferior derecha, donde las barras son más cortas, para evitar superposición con los valores.</w:t>
      </w:r>
    </w:p>
    <w:p>
      <w:pPr>
        <w:spacing w:before="80" w:after="0"/>
      </w:pPr>
      <w:r>
        <w:t xml:space="preserve"/>
      </w:r>
    </w:p>
    <w:p>
      <w:pPr>
        <w:pStyle w:val="Heading2"/>
        <w:spacing w:before="240" w:after="80"/>
      </w:pPr>
      <w:r>
        <w:rPr>
          <w:rFonts w:ascii="Arial" w:cs="Arial" w:eastAsia="Arial" w:hAnsi="Arial"/>
          <w:b/>
          <w:bCs/>
          <w:color w:val="009040"/>
          <w:sz w:val="24"/>
          <w:szCs w:val="24"/>
        </w:rPr>
        <w:t xml:space="preserve">7.3 Gráficos de líneas — evolución de precios</w:t>
      </w:r>
    </w:p>
    <w:p>
      <w:pPr>
        <w:spacing w:before="80" w:after="80" w:line="276"/>
        <w:jc w:val="both"/>
      </w:pPr>
      <w:r>
        <w:rPr>
          <w:rFonts w:ascii="Arial" w:cs="Arial" w:eastAsia="Arial" w:hAnsi="Arial"/>
          <w:b w:val="false"/>
          <w:bCs w:val="false"/>
          <w:color w:val="1A1A2E"/>
          <w:sz w:val="22"/>
          <w:szCs w:val="22"/>
        </w:rPr>
        <w:t xml:space="preserve">Para la evolución temporal de precios se utilizaron gráficos de líneas, que son el tipo de visualización más intuitivo para series temporales. Gasolina y Diesel se muestran en el mismo gráfico para facilitar la comparación directa entre ambos, mientras que el GLP se presenta en un panel separado por tener una escala de precio diferente (R$/13kg vs. R$/litro). Las líneas de referencia verticales para 2015 y 2018 contextualizan los eventos clave directamente sobre la visualización.</w:t>
      </w:r>
    </w:p>
    <w:p>
      <w:pPr>
        <w:spacing w:before="80" w:after="0"/>
      </w:pPr>
      <w:r>
        <w:t xml:space="preserve"/>
      </w:r>
    </w:p>
    <w:p>
      <w:pPr>
        <w:pStyle w:val="Heading2"/>
        <w:spacing w:before="240" w:after="80"/>
      </w:pPr>
      <w:r>
        <w:rPr>
          <w:rFonts w:ascii="Arial" w:cs="Arial" w:eastAsia="Arial" w:hAnsi="Arial"/>
          <w:b/>
          <w:bCs/>
          <w:color w:val="009040"/>
          <w:sz w:val="24"/>
          <w:szCs w:val="24"/>
        </w:rPr>
        <w:t xml:space="preserve">7.4 Gráfico de donut — distribución regional</w:t>
      </w:r>
    </w:p>
    <w:p>
      <w:pPr>
        <w:spacing w:before="80" w:after="80" w:line="276"/>
        <w:jc w:val="both"/>
      </w:pPr>
      <w:r>
        <w:rPr>
          <w:rFonts w:ascii="Arial" w:cs="Arial" w:eastAsia="Arial" w:hAnsi="Arial"/>
          <w:b w:val="false"/>
          <w:bCs w:val="false"/>
          <w:color w:val="1A1A2E"/>
          <w:sz w:val="22"/>
          <w:szCs w:val="22"/>
        </w:rPr>
        <w:t xml:space="preserve">Para la distribución porcentual por región se eligió un gráfico de donut (anillo) en lugar de un pastel tradicional. El espacio central se aprovecha para mostrar el total de estaciones, evitando la necesidad de una leyenda separada. Este tipo de gráfico es adecuado cuando se quiere enfatizar la proporción de las partes respecto al todo, sin precisar comparaciones exactas de magnitud (para eso se acompaña de un gráfico de barras verticales en el mismo slide).</w:t>
      </w:r>
    </w:p>
    <w:p>
      <w:pPr>
        <w:spacing w:before="80" w:after="0"/>
      </w:pPr>
      <w:r>
        <w:t xml:space="preserve"/>
      </w:r>
    </w:p>
    <w:p>
      <w:pPr>
        <w:pStyle w:val="Heading2"/>
        <w:spacing w:before="240" w:after="80"/>
      </w:pPr>
      <w:r>
        <w:rPr>
          <w:rFonts w:ascii="Arial" w:cs="Arial" w:eastAsia="Arial" w:hAnsi="Arial"/>
          <w:b/>
          <w:bCs/>
          <w:color w:val="009040"/>
          <w:sz w:val="24"/>
          <w:szCs w:val="24"/>
        </w:rPr>
        <w:t xml:space="preserve">7.5 Tarjetas de insight complementarias</w:t>
      </w:r>
    </w:p>
    <w:p>
      <w:pPr>
        <w:spacing w:before="80" w:after="80" w:line="276"/>
        <w:jc w:val="both"/>
      </w:pPr>
      <w:r>
        <w:rPr>
          <w:rFonts w:ascii="Arial" w:cs="Arial" w:eastAsia="Arial" w:hAnsi="Arial"/>
          <w:b w:val="false"/>
          <w:bCs w:val="false"/>
          <w:color w:val="1A1A2E"/>
          <w:sz w:val="22"/>
          <w:szCs w:val="22"/>
        </w:rPr>
        <w:t xml:space="preserve">Cada diapositiva de análisis incluye un panel lateral con tarjetas de insight que destacan los hallazgos clave en lenguaje sencillo. Esta decisión busca asegurar que el mensaje principal de cada slide sea accesible incluso para audiencias que no profundicen en la visualización. Las tarjetas utilizan fondos de color suave (verde claro, amarillo claro, rojo claro) para jerarquizar la información por nivel de urgencia o importancia.</w:t>
      </w:r>
    </w:p>
    <w:p>
      <w:pPr>
        <w:spacing w:before="160" w:after="0"/>
      </w:pPr>
      <w:r>
        <w:t xml:space="preserve"/>
      </w:r>
    </w:p>
    <w:p>
      <w:pPr>
        <w:pBdr>
          <w:bottom w:val="single" w:color="CCCCCC" w:sz="4"/>
        </w:pBdr>
        <w:spacing w:before="120" w:after="120"/>
      </w:pPr>
      <w:r>
        <w:t xml:space="preserve"/>
      </w:r>
    </w:p>
    <w:p>
      <w:pPr>
        <w:pStyle w:val="Heading1"/>
        <w:spacing w:before="360" w:after="120"/>
      </w:pPr>
      <w:r>
        <w:rPr>
          <w:rFonts w:ascii="Arial" w:cs="Arial" w:eastAsia="Arial" w:hAnsi="Arial"/>
          <w:b/>
          <w:bCs/>
          <w:color w:val="00471E"/>
          <w:sz w:val="28"/>
          <w:szCs w:val="28"/>
        </w:rPr>
        <w:t xml:space="preserve">Referencias</w:t>
      </w:r>
    </w:p>
    <w:p>
      <w:pPr>
        <w:pStyle w:val="ListParagraph"/>
        <w:numPr>
          <w:ilvl w:val="0"/>
          <w:numId w:val="2"/>
        </w:numPr>
        <w:spacing w:before="40" w:after="40" w:line="276"/>
      </w:pPr>
      <w:r>
        <w:rPr>
          <w:rFonts w:ascii="Arial" w:cs="Arial" w:eastAsia="Arial" w:hAnsi="Arial"/>
          <w:color w:val="1A1A2E"/>
          <w:sz w:val="22"/>
          <w:szCs w:val="22"/>
        </w:rPr>
        <w:t xml:space="preserve">Agência Nacional do Petróleo, Gás Natural e Biocombustíveis (ANP). Dataset: Gas Prices in Brazil. Disponible en Kaggle.</w:t>
      </w:r>
    </w:p>
    <w:p>
      <w:pPr>
        <w:pStyle w:val="ListParagraph"/>
        <w:numPr>
          <w:ilvl w:val="0"/>
          <w:numId w:val="2"/>
        </w:numPr>
        <w:spacing w:before="40" w:after="40" w:line="276"/>
      </w:pPr>
      <w:r>
        <w:rPr>
          <w:rFonts w:ascii="Arial" w:cs="Arial" w:eastAsia="Arial" w:hAnsi="Arial"/>
          <w:color w:val="1A1A2E"/>
          <w:sz w:val="22"/>
          <w:szCs w:val="22"/>
        </w:rPr>
        <w:t xml:space="preserve">brasilgas.nievas.dev — Datos de distribución de estaciones de servicio por estado (período más reciente, 11.405 estaciones).</w:t>
      </w:r>
    </w:p>
    <w:p>
      <w:pPr>
        <w:pStyle w:val="ListParagraph"/>
        <w:numPr>
          <w:ilvl w:val="0"/>
          <w:numId w:val="2"/>
        </w:numPr>
        <w:spacing w:before="40" w:after="40" w:line="276"/>
      </w:pPr>
      <w:r>
        <w:rPr>
          <w:rFonts w:ascii="Arial" w:cs="Arial" w:eastAsia="Arial" w:hAnsi="Arial"/>
          <w:color w:val="1A1A2E"/>
          <w:sz w:val="22"/>
          <w:szCs w:val="22"/>
        </w:rPr>
        <w:t xml:space="preserve">Universidad ORT Uruguay. Obligatorio Final — Taller: Visualización de Datos y Narrativa, 2026.</w:t>
      </w:r>
    </w:p>
    <w:p>
      <w:pPr>
        <w:spacing w:before="120" w:after="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94A3B8"/>
        <w:sz w:val="18"/>
        <w:szCs w:val="18"/>
      </w:rPr>
      <w:t xml:space="preserve">Universidad ORT Uruguay · Visualización de Datos y Narrativa · 2026   |   Pág. </w:t>
    </w:r>
    <w:fldSimple w:instr="PAGE">
      <w:r>
        <w:rPr>
          <w:rFonts w:ascii="Arial" w:cs="Arial" w:eastAsia="Arial" w:hAnsi="Arial"/>
          <w:color w:val="94A3B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040" w:sz="4"/>
      </w:pBdr>
      <w:spacing w:after="120"/>
      <w:jc w:val="right"/>
    </w:pPr>
    <w:r>
      <w:rPr>
        <w:rFonts w:ascii="Arial" w:cs="Arial" w:eastAsia="Arial" w:hAnsi="Arial"/>
        <w:color w:val="94A3B8"/>
        <w:sz w:val="18"/>
        <w:szCs w:val="18"/>
      </w:rPr>
      <w:t xml:space="preserve">Combustibles en Brasil · Informe de Análisis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471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09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2026-02-23T23:11:02.722Z</dcterms:created>
  <dcterms:modified xsi:type="dcterms:W3CDTF">2026-02-23T23:11:02.723Z</dcterms:modified>
</cp:coreProperties>
</file>

<file path=docProps/custom.xml><?xml version="1.0" encoding="utf-8"?>
<Properties xmlns="http://schemas.openxmlformats.org/officeDocument/2006/custom-properties" xmlns:vt="http://schemas.openxmlformats.org/officeDocument/2006/docPropsVTypes"/>
</file>