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浙江科技大学</w:t>
      </w:r>
    </w:p>
    <w:p>
      <w:pPr>
        <w:spacing w:line="360" w:lineRule="auto" w:before="120" w:after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毕业设计（论文）任务书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课题名称</w:t>
            </w:r>
          </w:p>
        </w:tc>
        <w:tc>
          <w:tcPr>
            <w:tcW w:type="dxa" w:w="6234"/>
            <w:gridSpan w:val="3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基于树莓派的Agent智能镜子助手设计与实现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课题类型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工程设计（应用开发）类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课题来源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大学生创新创业训练计划项目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聂志理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　　号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1230205081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专　　业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通信工程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班　　级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通信工程232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　　院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人工智能与信息工程学院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指导教师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吴茗蔚</w:t>
            </w:r>
          </w:p>
        </w:tc>
      </w:tr>
      <w:tr>
        <w:tc>
          <w:tcPr>
            <w:tcW w:type="dxa" w:w="8312"/>
            <w:gridSpan w:val="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一、主要任务与目标</w:t>
            </w:r>
          </w:p>
        </w:tc>
      </w:tr>
      <w:tr>
        <w:tc>
          <w:tcPr>
            <w:tcW w:type="dxa" w:w="8312"/>
            <w:gridSpan w:val="4"/>
          </w:tcPr>
          <w:p>
            <w:pPr>
              <w:spacing w:line="360" w:lineRule="auto" w:after="80"/>
              <w:ind w:firstLineChars="200" w:firstLine="4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本课题要求学生在树莓派嵌入式平台上，设计并实现一款集镜面信息显示、语音交互、身份识别于一体的Agent 智能镜子助手。主要任务包括：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（1）完成系统总体方案设计，划分前端镜面信息显示子系统与后端语音交互子系统，制定软硬件接口与数据流方案；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（2）实现“唤醒—识别—理解—回复”的语音交互闭环，包括基于 Silero VAD 的语音活动检测、语音识别（ASR）、基于大语言模型的多轮对话（LLM）与流式语音合成（TTS），支持中文、英语等多语言交互；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（3）实现基于 PIR 传感器的人体感应与基于 dlib 的人脸识别联动，做到用户靠近自动唤醒、识别身份后个性化问候；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（4）基于 MagicMirror² 框架定制前端展示模块，实现时钟、日历、实时天气、新闻滚动等信息显示；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（5）构建端侧轻量智能体：在树莓派本地部署量化小语言模型，实现查询任务、打卡、报时、查天气等工具调用与长期记忆，采用本地优先、云端兜底的路由策略，保障离线场景核心功能可用；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6）实现个人任务管理集成：从飞书妙记拉取录音及其转写内容（增量轮询、去重），文本交由云端大语言模型处理，自动整理为待办、日程、提醒、记事等条目并进入待确认队列，用户确认后生效；识别人脸后展示个性化今日任务，支持到点语音与横幅提醒、语音查询与语音打卡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（7）完成系统集成、功能与性能测试及优化，撰写符合学校规范的毕业论文。</w:t>
            </w:r>
          </w:p>
          <w:p>
            <w:pPr>
              <w:spacing w:line="360" w:lineRule="auto" w:after="80"/>
              <w:ind w:firstLineChars="200" w:firstLine="4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预期目标：在正常网络条件下，语音交互端到端响应时间不超过 5 秒；人脸识别满足日常使用要求；录音结束后 25 分钟内待办进入待确认队列；断网情况下任务查询、打卡、报时、查天气等核心功能可离线使用；系统可连续稳定运行，具备模块化、可配置、可扩展的软件结构。</w:t>
            </w:r>
          </w:p>
        </w:tc>
      </w:tr>
      <w:tr>
        <w:tc>
          <w:tcPr>
            <w:tcW w:type="dxa" w:w="8312"/>
            <w:gridSpan w:val="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二、基本要求</w:t>
            </w:r>
          </w:p>
        </w:tc>
      </w:tr>
      <w:tr>
        <w:tc>
          <w:tcPr>
            <w:tcW w:type="dxa" w:w="8312"/>
            <w:gridSpan w:val="4"/>
          </w:tcPr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1. 独立完成文献调研，文献综述与开题报告各不少于 2000 字，符合学校规范并通过开题审查；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 毕业论文正文不少于 8000 字，结构完整、条理清晰、图表规范；参考文献不少于 10 篇，其中外文文献不少于 2 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3. 完成外文文献翻译，不少于 1 万印刷字符（或译文不少于 2000 汉字），内容与课题相关；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4. 系统功能完整、可现场演示，代码结构规范、注释清晰，关键模块具备测试记录；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5. 论文查重复制比低于 30%，AIGC 智能生成比例低于 40%，符合学校学术诚信要求。</w:t>
            </w:r>
          </w:p>
        </w:tc>
      </w:tr>
      <w:tr>
        <w:tc>
          <w:tcPr>
            <w:tcW w:type="dxa" w:w="8312"/>
            <w:gridSpan w:val="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三、进度安排</w:t>
            </w:r>
          </w:p>
        </w:tc>
      </w:tr>
      <w:tr>
        <w:tc>
          <w:tcPr>
            <w:tcW w:type="dxa" w:w="8312"/>
            <w:gridSpan w:val="4"/>
          </w:tcPr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1. 2026.10.13—11.2：完成课题申报与选题，明确研究内容与技术路线；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 2026.11—2026.12：文献调研与需求分析，完成文献综述与开题报告；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3. 2027.1—2027.2：系统设计与各功能模块开发（语音交互、人脸识别、信息展示、端侧智能体、任务管理集成）；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4. 2027.3：系统集成与测试，完成外文文献翻译，完善开题材料并通过审查；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5. 2027.4：参加中期检查，撰写论文初稿；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6. 2027.5：论文修改定稿，完成查重与 AIGC 检测，制作答辩材料；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7. 2027.5.7—5.20：参加毕业答辩，按答辩意见修改论文并完成材料归档。</w:t>
            </w:r>
          </w:p>
        </w:tc>
      </w:tr>
      <w:tr>
        <w:tc>
          <w:tcPr>
            <w:tcW w:type="dxa" w:w="8312"/>
            <w:gridSpan w:val="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四、主要参考文献</w:t>
            </w:r>
          </w:p>
        </w:tc>
      </w:tr>
      <w:tr>
        <w:tc>
          <w:tcPr>
            <w:tcW w:type="dxa" w:w="8312"/>
            <w:gridSpan w:val="4"/>
          </w:tcPr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[1] Vaswani A, Shazeer N, Parmar N, et al. Attention is all you need[C]//Advances in Neural Information Processing Systems (NIPS). 2017: 5998-6008.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[2] Bai J, Bai S, Chu Y, et al. Qwen technical report[EB/OL]. arXiv preprint arXiv:2309.16609, 2023.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[3] Zhang J, Zhang Y, Shi J, et al. Paraformer: Fast and accurate parallel transformer for non-autoregressive end-to-end ASR[C]//Proceedings of Interspeech. 2022: 2063-2067.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[4] Radford A, Kim J W, Xu T, et al. Robust speech recognition via large-scale weak supervision[C]//Proceedings of the 40th International Conference on Machine Learning (ICML). 2023: 28492-28518.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[5] Zhao W X, Zhou K, Li J, et al. A survey of large language models[EB/OL]. arXiv preprint arXiv:2303.18223, 2023.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[6] LeCun Y, Bengio Y, Hinton G. Deep learning[J]. Nature, 2015, 521(7553): 436-444.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[7] Schmidhuber J. Deep learning in neural networks: An overview[J]. Neural Networks, 2015, 61: 85-117.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[8] King D E. Dlib-ml: A machine learning toolkit[J]. Journal of Machine Learning Research, 2009, 10: 1755-1758.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[9] Silero Team. Silero VAD: Pre-trained enterprise-grade voice activity detector[EB/OL]. https://github.com/snakers4/silero-vad, 2024.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[10] Teeuw M. MagicMirror²: The open source modular smart mirror platform[EB/OL]. https://magicmirror.builders, 2024.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[11] 俞栋, 邓力. 解析深度学习：语音识别实践[M]. 俞凯, 钱彦旻, 等译. 北京: 电子工业出版社, 2016.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[12] 宗成庆. 统计自然语言处理（第2版）[M]. 北京: 清华大学出版社, 2013.</w:t>
            </w:r>
          </w:p>
        </w:tc>
      </w:tr>
    </w:tbl>
    <w:p/>
    <w:p>
      <w:pPr>
        <w:spacing w:line="360" w:lineRule="auto" w:before="0" w:after="240"/>
      </w:pPr>
      <w:r>
        <w:rPr>
          <w:rFonts w:ascii="Times New Roman" w:hAnsi="Times New Roman" w:eastAsia="宋体"/>
          <w:b w:val="0"/>
          <w:color w:val="000000"/>
          <w:sz w:val="24"/>
        </w:rPr>
        <w:t>学生（签字）：　　　　　　　　　　日期：　　　年　　月　　日</w:t>
      </w:r>
    </w:p>
    <w:p>
      <w:pPr>
        <w:spacing w:line="360" w:lineRule="auto" w:before="0" w:after="240"/>
      </w:pPr>
      <w:r>
        <w:rPr>
          <w:rFonts w:ascii="Times New Roman" w:hAnsi="Times New Roman" w:eastAsia="宋体"/>
          <w:b w:val="0"/>
          <w:color w:val="000000"/>
          <w:sz w:val="24"/>
        </w:rPr>
        <w:t>指导教师（签字）：　　　　　　　　　日期：　　　年　　月　　日</w:t>
      </w: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color w:val="000000"/>
          <w:sz w:val="24"/>
        </w:rPr>
        <w:t>教研室主任（签字）：　　　　　　　　日期：　　　年　　月　　日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