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D1" w:rsidRDefault="00F470D1" w:rsidP="00F470D1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jc w:val="left"/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查询控件当前</w:t>
      </w:r>
      <w:r>
        <w:rPr>
          <w:color w:val="1F497D"/>
        </w:rPr>
        <w:t>ite</w:t>
      </w:r>
      <w:bookmarkStart w:id="0" w:name="_GoBack"/>
      <w:bookmarkEnd w:id="0"/>
      <w:r>
        <w:rPr>
          <w:color w:val="1F497D"/>
        </w:rPr>
        <w:t>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D4589B" w:rsidRDefault="00F470D1" w:rsidP="00F470D1">
      <w:pPr>
        <w:ind w:left="360"/>
        <w:rPr>
          <w:color w:val="1F497D"/>
          <w:u w:val="single"/>
        </w:rPr>
      </w:pPr>
      <w:r w:rsidRPr="00D4589B">
        <w:rPr>
          <w:rFonts w:ascii="宋体" w:hAnsi="宋体" w:hint="eastAsia"/>
          <w:color w:val="1F497D"/>
          <w:u w:val="single"/>
        </w:rPr>
        <w:t>增加</w:t>
      </w:r>
      <w:r w:rsidRPr="00D4589B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Default="00F470D1" w:rsidP="00F470D1">
      <w:pPr>
        <w:ind w:left="360"/>
        <w:rPr>
          <w:color w:val="548235"/>
        </w:rPr>
      </w:pPr>
      <w:r>
        <w:rPr>
          <w:rFonts w:ascii="宋体" w:hAnsi="宋体" w:hint="eastAsia"/>
          <w:color w:val="548235"/>
        </w:rPr>
        <w:t>增加事件</w:t>
      </w:r>
      <w:r>
        <w:rPr>
          <w:color w:val="548235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改一下</w:t>
      </w:r>
      <w:r>
        <w:rPr>
          <w:color w:val="548235"/>
        </w:rPr>
        <w:t xml:space="preserve">id = </w:t>
      </w:r>
      <w:r>
        <w:rPr>
          <w:rFonts w:ascii="宋体" w:hAnsi="宋体" w:hint="eastAsia"/>
          <w:color w:val="548235"/>
        </w:rPr>
        <w:t>控件</w:t>
      </w:r>
      <w:r>
        <w:rPr>
          <w:color w:val="548235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这个是改文档对吗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lastRenderedPageBreak/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A13FB1"/>
    <w:rsid w:val="00D4589B"/>
    <w:rsid w:val="00E86F56"/>
    <w:rsid w:val="00F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6986-B756-4F0B-AFF6-B3C555FD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517</Words>
  <Characters>2947</Characters>
  <Application>Microsoft Office Word</Application>
  <DocSecurity>0</DocSecurity>
  <Lines>24</Lines>
  <Paragraphs>6</Paragraphs>
  <ScaleCrop>false</ScaleCrop>
  <Company>P R C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2013-08-29T02:20:00Z</dcterms:created>
  <dcterms:modified xsi:type="dcterms:W3CDTF">2013-08-29T03:22:00Z</dcterms:modified>
</cp:coreProperties>
</file>