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77D2" w:rsidRPr="001D2A0F" w:rsidRDefault="00F76A76" w:rsidP="001D2A0F">
      <w:pPr>
        <w:pStyle w:val="Title"/>
        <w:pBdr>
          <w:bottom w:val="single" w:sz="8" w:space="2" w:color="4F81BD" w:themeColor="accent1"/>
        </w:pBdr>
        <w:rPr>
          <w:rFonts w:ascii="Times New Roman" w:hAnsi="Times New Roman" w:cs="Times New Roman"/>
          <w:sz w:val="48"/>
          <w:szCs w:val="48"/>
        </w:rPr>
      </w:pPr>
      <w:r>
        <w:rPr>
          <w:rFonts w:ascii="Times New Roman" w:hAnsi="Times New Roman" w:cs="Times New Roman"/>
          <w:noProof/>
          <w:sz w:val="48"/>
          <w:szCs w:val="48"/>
        </w:rPr>
        <w:drawing>
          <wp:anchor distT="0" distB="0" distL="114300" distR="114300" simplePos="0" relativeHeight="251654144" behindDoc="1" locked="0" layoutInCell="1" allowOverlap="1" wp14:anchorId="395E6EF9">
            <wp:simplePos x="0" y="0"/>
            <wp:positionH relativeFrom="column">
              <wp:posOffset>6026150</wp:posOffset>
            </wp:positionH>
            <wp:positionV relativeFrom="paragraph">
              <wp:posOffset>0</wp:posOffset>
            </wp:positionV>
            <wp:extent cx="812800" cy="730250"/>
            <wp:effectExtent l="0" t="0" r="6350" b="0"/>
            <wp:wrapTight wrapText="bothSides">
              <wp:wrapPolygon edited="0">
                <wp:start x="0" y="0"/>
                <wp:lineTo x="0" y="20849"/>
                <wp:lineTo x="21263" y="20849"/>
                <wp:lineTo x="21263" y="0"/>
                <wp:lineTo x="0" y="0"/>
              </wp:wrapPolygon>
            </wp:wrapTight>
            <wp:docPr id="1697718250"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18250" name="Picture 1" descr="A blue background with white text&#10;&#10;AI-generated content may be incorrect."/>
                    <pic:cNvPicPr/>
                  </pic:nvPicPr>
                  <pic:blipFill>
                    <a:blip r:embed="rId6"/>
                    <a:stretch>
                      <a:fillRect/>
                    </a:stretch>
                  </pic:blipFill>
                  <pic:spPr>
                    <a:xfrm>
                      <a:off x="0" y="0"/>
                      <a:ext cx="812800" cy="730250"/>
                    </a:xfrm>
                    <a:prstGeom prst="rect">
                      <a:avLst/>
                    </a:prstGeom>
                  </pic:spPr>
                </pic:pic>
              </a:graphicData>
            </a:graphic>
            <wp14:sizeRelH relativeFrom="margin">
              <wp14:pctWidth>0</wp14:pctWidth>
            </wp14:sizeRelH>
            <wp14:sizeRelV relativeFrom="margin">
              <wp14:pctHeight>0</wp14:pctHeight>
            </wp14:sizeRelV>
          </wp:anchor>
        </w:drawing>
      </w:r>
      <w:r w:rsidR="001D2A0F" w:rsidRPr="001D2A0F">
        <w:rPr>
          <w:rFonts w:ascii="Times New Roman" w:hAnsi="Times New Roman" w:cs="Times New Roman"/>
          <w:sz w:val="48"/>
          <w:szCs w:val="48"/>
        </w:rPr>
        <w:t>Driving Strategic Import</w:t>
      </w:r>
      <w:r w:rsidR="001D2A0F" w:rsidRPr="001D2A0F">
        <w:rPr>
          <w:rFonts w:ascii="Times New Roman" w:hAnsi="Times New Roman" w:cs="Times New Roman"/>
          <w:sz w:val="48"/>
          <w:szCs w:val="48"/>
        </w:rPr>
        <w:t xml:space="preserve"> </w:t>
      </w:r>
      <w:r w:rsidR="001D2A0F" w:rsidRPr="001D2A0F">
        <w:rPr>
          <w:rFonts w:ascii="Times New Roman" w:hAnsi="Times New Roman" w:cs="Times New Roman"/>
          <w:sz w:val="48"/>
          <w:szCs w:val="48"/>
        </w:rPr>
        <w:t>Reforms through Advanced Analytics</w:t>
      </w:r>
    </w:p>
    <w:p w:rsidR="006177D2" w:rsidRPr="000C4904" w:rsidRDefault="00000000" w:rsidP="00C84E3E">
      <w:pPr>
        <w:pStyle w:val="Heading1"/>
        <w:tabs>
          <w:tab w:val="left" w:pos="3570"/>
        </w:tabs>
        <w:spacing w:before="0"/>
        <w:rPr>
          <w:rFonts w:ascii="Times New Roman" w:hAnsi="Times New Roman" w:cs="Times New Roman"/>
          <w:sz w:val="24"/>
          <w:szCs w:val="24"/>
        </w:rPr>
      </w:pPr>
      <w:r w:rsidRPr="000C4904">
        <w:rPr>
          <w:rFonts w:ascii="Times New Roman" w:hAnsi="Times New Roman" w:cs="Times New Roman"/>
          <w:sz w:val="24"/>
          <w:szCs w:val="24"/>
        </w:rPr>
        <w:t>Overview:</w:t>
      </w:r>
      <w:r w:rsidR="000C4904" w:rsidRPr="000C4904">
        <w:rPr>
          <w:rFonts w:ascii="Times New Roman" w:hAnsi="Times New Roman" w:cs="Times New Roman"/>
          <w:sz w:val="24"/>
          <w:szCs w:val="24"/>
        </w:rPr>
        <w:tab/>
      </w:r>
    </w:p>
    <w:p w:rsidR="006177D2" w:rsidRDefault="00000000">
      <w:pPr>
        <w:rPr>
          <w:rFonts w:ascii="Times New Roman" w:hAnsi="Times New Roman" w:cs="Times New Roman"/>
          <w:sz w:val="24"/>
          <w:szCs w:val="24"/>
        </w:rPr>
      </w:pPr>
      <w:r w:rsidRPr="000C4904">
        <w:rPr>
          <w:rFonts w:ascii="Times New Roman" w:hAnsi="Times New Roman" w:cs="Times New Roman"/>
          <w:sz w:val="24"/>
          <w:szCs w:val="24"/>
        </w:rPr>
        <w:t>This project leverages historical import data of electrical machinery (HS Code 85) to provide insights that support policy reforms in import taxation, substitution, and innovation. With advanced data analysis, forecasting, and policy modeling, we offer data-driven recommendations to reduce import dependency, enhance revenue collection, and promote local production in Nigeria.</w:t>
      </w:r>
    </w:p>
    <w:p w:rsidR="00C84E3E" w:rsidRPr="000C4904" w:rsidRDefault="00C84E3E" w:rsidP="00C84E3E">
      <w:pPr>
        <w:pStyle w:val="Heading1"/>
        <w:spacing w:before="0"/>
        <w:rPr>
          <w:rFonts w:ascii="Times New Roman" w:hAnsi="Times New Roman" w:cs="Times New Roman"/>
          <w:sz w:val="24"/>
          <w:szCs w:val="24"/>
        </w:rPr>
      </w:pPr>
      <w:r>
        <w:rPr>
          <w:rFonts w:ascii="Times New Roman" w:hAnsi="Times New Roman" w:cs="Times New Roman"/>
          <w:sz w:val="24"/>
          <w:szCs w:val="24"/>
        </w:rPr>
        <w:t>Problem Statement</w:t>
      </w:r>
      <w:r w:rsidRPr="000C4904">
        <w:rPr>
          <w:rFonts w:ascii="Times New Roman" w:hAnsi="Times New Roman" w:cs="Times New Roman"/>
          <w:sz w:val="24"/>
          <w:szCs w:val="24"/>
        </w:rPr>
        <w:t>:</w:t>
      </w:r>
    </w:p>
    <w:p w:rsidR="00C84E3E" w:rsidRPr="000C4904" w:rsidRDefault="00C84E3E">
      <w:pPr>
        <w:rPr>
          <w:rFonts w:ascii="Times New Roman" w:hAnsi="Times New Roman" w:cs="Times New Roman"/>
          <w:sz w:val="24"/>
          <w:szCs w:val="24"/>
        </w:rPr>
      </w:pPr>
      <w:r w:rsidRPr="00C84E3E">
        <w:rPr>
          <w:rFonts w:ascii="Times New Roman" w:hAnsi="Times New Roman" w:cs="Times New Roman"/>
          <w:sz w:val="24"/>
          <w:szCs w:val="24"/>
        </w:rPr>
        <w:t>Nigeria's import profile, particularly in electrical machinery and related equipment (HS Code 85), has led to substantial foreign exchange outflows and heavy reliance on external economies. This dependency, coupled with revenue leakages and suboptimal tax collection, limits the country’s fiscal capacity and hampers the growth of domestic industries</w:t>
      </w:r>
    </w:p>
    <w:p w:rsidR="006177D2" w:rsidRPr="000C4904" w:rsidRDefault="00000000" w:rsidP="00C84E3E">
      <w:pPr>
        <w:pStyle w:val="Heading1"/>
        <w:spacing w:before="0"/>
        <w:rPr>
          <w:rFonts w:ascii="Times New Roman" w:hAnsi="Times New Roman" w:cs="Times New Roman"/>
          <w:sz w:val="24"/>
          <w:szCs w:val="24"/>
        </w:rPr>
      </w:pPr>
      <w:r w:rsidRPr="000C4904">
        <w:rPr>
          <w:rFonts w:ascii="Times New Roman" w:hAnsi="Times New Roman" w:cs="Times New Roman"/>
          <w:sz w:val="24"/>
          <w:szCs w:val="24"/>
        </w:rPr>
        <w:t>Objectives:</w:t>
      </w:r>
    </w:p>
    <w:p w:rsidR="006177D2" w:rsidRPr="000C4904" w:rsidRDefault="00000000">
      <w:pPr>
        <w:pStyle w:val="ListBullet"/>
        <w:rPr>
          <w:rFonts w:ascii="Times New Roman" w:hAnsi="Times New Roman" w:cs="Times New Roman"/>
          <w:sz w:val="24"/>
          <w:szCs w:val="24"/>
        </w:rPr>
      </w:pPr>
      <w:r w:rsidRPr="000C4904">
        <w:rPr>
          <w:rFonts w:ascii="Times New Roman" w:hAnsi="Times New Roman" w:cs="Times New Roman"/>
          <w:sz w:val="24"/>
          <w:szCs w:val="24"/>
        </w:rPr>
        <w:t>Analyze import and tax trends under HS Code 85</w:t>
      </w:r>
    </w:p>
    <w:p w:rsidR="006177D2" w:rsidRPr="000C4904" w:rsidRDefault="00000000">
      <w:pPr>
        <w:pStyle w:val="ListBullet"/>
        <w:rPr>
          <w:rFonts w:ascii="Times New Roman" w:hAnsi="Times New Roman" w:cs="Times New Roman"/>
          <w:sz w:val="24"/>
          <w:szCs w:val="24"/>
        </w:rPr>
      </w:pPr>
      <w:r w:rsidRPr="000C4904">
        <w:rPr>
          <w:rFonts w:ascii="Times New Roman" w:hAnsi="Times New Roman" w:cs="Times New Roman"/>
          <w:sz w:val="24"/>
          <w:szCs w:val="24"/>
        </w:rPr>
        <w:t>Forecast future import volumes and tax revenues</w:t>
      </w:r>
    </w:p>
    <w:p w:rsidR="006177D2" w:rsidRPr="000C4904" w:rsidRDefault="00000000">
      <w:pPr>
        <w:pStyle w:val="ListBullet"/>
        <w:rPr>
          <w:rFonts w:ascii="Times New Roman" w:hAnsi="Times New Roman" w:cs="Times New Roman"/>
          <w:sz w:val="24"/>
          <w:szCs w:val="24"/>
        </w:rPr>
      </w:pPr>
      <w:r w:rsidRPr="000C4904">
        <w:rPr>
          <w:rFonts w:ascii="Times New Roman" w:hAnsi="Times New Roman" w:cs="Times New Roman"/>
          <w:sz w:val="24"/>
          <w:szCs w:val="24"/>
        </w:rPr>
        <w:t>Identify fast</w:t>
      </w:r>
      <w:r w:rsidR="000C4904">
        <w:rPr>
          <w:rFonts w:ascii="Times New Roman" w:hAnsi="Times New Roman" w:cs="Times New Roman"/>
          <w:sz w:val="24"/>
          <w:szCs w:val="24"/>
        </w:rPr>
        <w:t xml:space="preserve"> </w:t>
      </w:r>
      <w:r w:rsidRPr="000C4904">
        <w:rPr>
          <w:rFonts w:ascii="Times New Roman" w:hAnsi="Times New Roman" w:cs="Times New Roman"/>
          <w:sz w:val="24"/>
          <w:szCs w:val="24"/>
        </w:rPr>
        <w:t>growing import categories for regulation</w:t>
      </w:r>
      <w:r w:rsidR="000C4904">
        <w:rPr>
          <w:rFonts w:ascii="Times New Roman" w:hAnsi="Times New Roman" w:cs="Times New Roman"/>
          <w:sz w:val="24"/>
          <w:szCs w:val="24"/>
        </w:rPr>
        <w:t xml:space="preserve"> or incentives</w:t>
      </w:r>
    </w:p>
    <w:p w:rsidR="006177D2" w:rsidRPr="000C4904" w:rsidRDefault="00000000">
      <w:pPr>
        <w:pStyle w:val="ListBullet"/>
        <w:rPr>
          <w:rFonts w:ascii="Times New Roman" w:hAnsi="Times New Roman" w:cs="Times New Roman"/>
          <w:sz w:val="24"/>
          <w:szCs w:val="24"/>
        </w:rPr>
      </w:pPr>
      <w:r w:rsidRPr="000C4904">
        <w:rPr>
          <w:rFonts w:ascii="Times New Roman" w:hAnsi="Times New Roman" w:cs="Times New Roman"/>
          <w:sz w:val="24"/>
          <w:szCs w:val="24"/>
        </w:rPr>
        <w:t>Model impact scenarios for local substitution and innovation funding</w:t>
      </w:r>
    </w:p>
    <w:p w:rsidR="006177D2" w:rsidRPr="000C4904" w:rsidRDefault="00000000">
      <w:pPr>
        <w:pStyle w:val="ListBullet"/>
        <w:rPr>
          <w:rFonts w:ascii="Times New Roman" w:hAnsi="Times New Roman" w:cs="Times New Roman"/>
          <w:sz w:val="24"/>
          <w:szCs w:val="24"/>
        </w:rPr>
      </w:pPr>
      <w:r w:rsidRPr="000C4904">
        <w:rPr>
          <w:rFonts w:ascii="Times New Roman" w:hAnsi="Times New Roman" w:cs="Times New Roman"/>
          <w:sz w:val="24"/>
          <w:szCs w:val="24"/>
        </w:rPr>
        <w:t>Recommend targeted policy actions to reduce leakage and stimulate local industries</w:t>
      </w:r>
    </w:p>
    <w:p w:rsidR="006177D2" w:rsidRPr="000C4904" w:rsidRDefault="00000000" w:rsidP="00C84E3E">
      <w:pPr>
        <w:pStyle w:val="Heading1"/>
        <w:spacing w:before="0"/>
        <w:rPr>
          <w:rFonts w:ascii="Times New Roman" w:hAnsi="Times New Roman" w:cs="Times New Roman"/>
          <w:sz w:val="24"/>
          <w:szCs w:val="24"/>
        </w:rPr>
      </w:pPr>
      <w:r w:rsidRPr="000C4904">
        <w:rPr>
          <w:rFonts w:ascii="Times New Roman" w:hAnsi="Times New Roman" w:cs="Times New Roman"/>
          <w:sz w:val="24"/>
          <w:szCs w:val="24"/>
        </w:rPr>
        <w:t>Key Insights:</w:t>
      </w:r>
    </w:p>
    <w:p w:rsidR="00C84E3E" w:rsidRDefault="00C84E3E" w:rsidP="00C84E3E">
      <w:pPr>
        <w:pStyle w:val="ListBullet"/>
        <w:rPr>
          <w:rFonts w:ascii="Times New Roman" w:hAnsi="Times New Roman" w:cs="Times New Roman"/>
          <w:sz w:val="24"/>
          <w:szCs w:val="24"/>
        </w:rPr>
      </w:pPr>
      <w:r w:rsidRPr="00C84E3E">
        <w:rPr>
          <w:rFonts w:ascii="Times New Roman" w:hAnsi="Times New Roman" w:cs="Times New Roman"/>
          <w:sz w:val="24"/>
          <w:szCs w:val="24"/>
        </w:rPr>
        <w:t xml:space="preserve">Forecasted import volumes are expected to grow by </w:t>
      </w:r>
      <w:r>
        <w:rPr>
          <w:rFonts w:ascii="Times New Roman" w:hAnsi="Times New Roman" w:cs="Times New Roman"/>
          <w:sz w:val="24"/>
          <w:szCs w:val="24"/>
        </w:rPr>
        <w:t>7.14</w:t>
      </w:r>
      <w:r w:rsidRPr="00C84E3E">
        <w:rPr>
          <w:rFonts w:ascii="Times New Roman" w:hAnsi="Times New Roman" w:cs="Times New Roman"/>
          <w:sz w:val="24"/>
          <w:szCs w:val="24"/>
        </w:rPr>
        <w:t>% in 5 years.</w:t>
      </w:r>
    </w:p>
    <w:p w:rsidR="00C84E3E" w:rsidRPr="000C4904" w:rsidRDefault="00C84E3E" w:rsidP="00C84E3E">
      <w:pPr>
        <w:pStyle w:val="ListBullet"/>
        <w:rPr>
          <w:rFonts w:ascii="Times New Roman" w:hAnsi="Times New Roman" w:cs="Times New Roman"/>
          <w:sz w:val="24"/>
          <w:szCs w:val="24"/>
        </w:rPr>
      </w:pPr>
      <w:r w:rsidRPr="00C84E3E">
        <w:rPr>
          <w:rFonts w:ascii="Times New Roman" w:hAnsi="Times New Roman" w:cs="Times New Roman"/>
          <w:sz w:val="24"/>
          <w:szCs w:val="24"/>
        </w:rPr>
        <w:t>Estimated tax leakage in 2019 was ₦8.9 billion</w:t>
      </w:r>
      <w:r w:rsidR="001D2A0F">
        <w:rPr>
          <w:rFonts w:ascii="Times New Roman" w:hAnsi="Times New Roman" w:cs="Times New Roman"/>
          <w:sz w:val="24"/>
          <w:szCs w:val="24"/>
        </w:rPr>
        <w:t xml:space="preserve">, with tax revenue of #100 billion </w:t>
      </w:r>
      <w:r w:rsidRPr="00C84E3E">
        <w:rPr>
          <w:rFonts w:ascii="Times New Roman" w:hAnsi="Times New Roman" w:cs="Times New Roman"/>
          <w:sz w:val="24"/>
          <w:szCs w:val="24"/>
        </w:rPr>
        <w:t>due to underpayment or exemptions</w:t>
      </w:r>
      <w:r>
        <w:rPr>
          <w:rFonts w:ascii="Times New Roman" w:hAnsi="Times New Roman" w:cs="Times New Roman"/>
          <w:sz w:val="24"/>
          <w:szCs w:val="24"/>
        </w:rPr>
        <w:t>.</w:t>
      </w:r>
    </w:p>
    <w:p w:rsidR="006177D2" w:rsidRPr="00C84E3E" w:rsidRDefault="00C84E3E" w:rsidP="00C84E3E">
      <w:pPr>
        <w:pStyle w:val="ListBullet"/>
        <w:rPr>
          <w:rFonts w:ascii="Times New Roman" w:hAnsi="Times New Roman" w:cs="Times New Roman"/>
          <w:sz w:val="24"/>
          <w:szCs w:val="24"/>
        </w:rPr>
      </w:pPr>
      <w:r w:rsidRPr="00C84E3E">
        <w:rPr>
          <w:rFonts w:ascii="Times New Roman" w:hAnsi="Times New Roman" w:cs="Times New Roman"/>
          <w:sz w:val="24"/>
          <w:szCs w:val="24"/>
        </w:rPr>
        <w:t>HS codes related to telecom and electronics show highest growth potential</w:t>
      </w:r>
    </w:p>
    <w:p w:rsidR="00C84E3E" w:rsidRDefault="00C84E3E">
      <w:pPr>
        <w:pStyle w:val="ListBullet"/>
        <w:rPr>
          <w:rFonts w:ascii="Times New Roman" w:hAnsi="Times New Roman" w:cs="Times New Roman"/>
          <w:sz w:val="24"/>
          <w:szCs w:val="24"/>
        </w:rPr>
      </w:pPr>
      <w:r w:rsidRPr="00C84E3E">
        <w:rPr>
          <w:rFonts w:ascii="Times New Roman" w:hAnsi="Times New Roman" w:cs="Times New Roman"/>
          <w:sz w:val="24"/>
          <w:szCs w:val="24"/>
        </w:rPr>
        <w:t>Local substitution of 20–30% of select imports could save ₦</w:t>
      </w:r>
      <w:r>
        <w:rPr>
          <w:rFonts w:ascii="Times New Roman" w:hAnsi="Times New Roman" w:cs="Times New Roman"/>
          <w:sz w:val="24"/>
          <w:szCs w:val="24"/>
        </w:rPr>
        <w:t>235</w:t>
      </w:r>
      <w:r w:rsidRPr="00C84E3E">
        <w:rPr>
          <w:rFonts w:ascii="Times New Roman" w:hAnsi="Times New Roman" w:cs="Times New Roman"/>
          <w:sz w:val="24"/>
          <w:szCs w:val="24"/>
        </w:rPr>
        <w:t xml:space="preserve"> billion annually</w:t>
      </w:r>
      <w:r w:rsidR="001D2A0F">
        <w:rPr>
          <w:rFonts w:ascii="Times New Roman" w:hAnsi="Times New Roman" w:cs="Times New Roman"/>
          <w:sz w:val="24"/>
          <w:szCs w:val="24"/>
        </w:rPr>
        <w:t xml:space="preserve"> and generate jobs</w:t>
      </w:r>
      <w:r w:rsidRPr="00C84E3E">
        <w:rPr>
          <w:rFonts w:ascii="Times New Roman" w:hAnsi="Times New Roman" w:cs="Times New Roman"/>
          <w:sz w:val="24"/>
          <w:szCs w:val="24"/>
        </w:rPr>
        <w:t>.</w:t>
      </w:r>
    </w:p>
    <w:p w:rsidR="006177D2" w:rsidRDefault="00000000" w:rsidP="001D2A0F">
      <w:pPr>
        <w:pStyle w:val="Heading1"/>
        <w:spacing w:before="0"/>
        <w:rPr>
          <w:rFonts w:ascii="Times New Roman" w:hAnsi="Times New Roman" w:cs="Times New Roman"/>
          <w:sz w:val="24"/>
          <w:szCs w:val="24"/>
        </w:rPr>
      </w:pPr>
      <w:r w:rsidRPr="000C4904">
        <w:rPr>
          <w:rFonts w:ascii="Times New Roman" w:hAnsi="Times New Roman" w:cs="Times New Roman"/>
          <w:sz w:val="24"/>
          <w:szCs w:val="24"/>
        </w:rPr>
        <w:t>Executive Recommendations:</w:t>
      </w:r>
    </w:p>
    <w:p w:rsidR="00874222" w:rsidRPr="00874222" w:rsidRDefault="00874222" w:rsidP="00874222">
      <w:pPr>
        <w:pStyle w:val="ListParagraph"/>
        <w:numPr>
          <w:ilvl w:val="0"/>
          <w:numId w:val="15"/>
        </w:numPr>
      </w:pPr>
      <w:r w:rsidRPr="00874222">
        <w:rPr>
          <w:b/>
          <w:bCs/>
        </w:rPr>
        <w:t>Taxation Reform:</w:t>
      </w:r>
    </w:p>
    <w:p w:rsidR="00874222" w:rsidRPr="00874222" w:rsidRDefault="00874222" w:rsidP="00874222">
      <w:pPr>
        <w:numPr>
          <w:ilvl w:val="0"/>
          <w:numId w:val="11"/>
        </w:numPr>
      </w:pPr>
      <w:r w:rsidRPr="00874222">
        <w:t xml:space="preserve">Standardize and enforce tax rates across customs offices and import categories to reduce tax leakage. Prioritize auditing of HS codes with significant gaps, such as </w:t>
      </w:r>
      <w:r w:rsidRPr="00874222">
        <w:rPr>
          <w:b/>
          <w:bCs/>
        </w:rPr>
        <w:t>Dangote Petroleum</w:t>
      </w:r>
      <w:r w:rsidRPr="00874222">
        <w:t xml:space="preserve"> and </w:t>
      </w:r>
      <w:r w:rsidRPr="00874222">
        <w:rPr>
          <w:b/>
          <w:bCs/>
        </w:rPr>
        <w:t>Multichoice Nigeria</w:t>
      </w:r>
      <w:r w:rsidRPr="00874222">
        <w:t>, to ensure compliance.</w:t>
      </w:r>
    </w:p>
    <w:p w:rsidR="00874222" w:rsidRPr="00874222" w:rsidRDefault="00874222" w:rsidP="00874222">
      <w:pPr>
        <w:pStyle w:val="ListParagraph"/>
        <w:numPr>
          <w:ilvl w:val="0"/>
          <w:numId w:val="15"/>
        </w:numPr>
      </w:pPr>
      <w:r w:rsidRPr="00874222">
        <w:rPr>
          <w:b/>
          <w:bCs/>
        </w:rPr>
        <w:t>Import Substitution:</w:t>
      </w:r>
      <w:r>
        <w:rPr>
          <w:b/>
          <w:bCs/>
        </w:rPr>
        <w:t xml:space="preserve"> </w:t>
      </w:r>
    </w:p>
    <w:p w:rsidR="00874222" w:rsidRDefault="00874222" w:rsidP="00874222">
      <w:pPr>
        <w:pStyle w:val="ListParagraph"/>
        <w:numPr>
          <w:ilvl w:val="1"/>
          <w:numId w:val="15"/>
        </w:numPr>
      </w:pPr>
      <w:r w:rsidRPr="00874222">
        <w:t>Promote local production incentives in hig</w:t>
      </w:r>
      <w:r>
        <w:t xml:space="preserve">h </w:t>
      </w:r>
      <w:r w:rsidRPr="00874222">
        <w:t xml:space="preserve">growth categories, such as </w:t>
      </w:r>
      <w:r w:rsidRPr="00874222">
        <w:rPr>
          <w:b/>
          <w:bCs/>
        </w:rPr>
        <w:t>solar panels</w:t>
      </w:r>
      <w:r w:rsidRPr="00874222">
        <w:t xml:space="preserve">, </w:t>
      </w:r>
      <w:r w:rsidRPr="00874222">
        <w:rPr>
          <w:b/>
          <w:bCs/>
        </w:rPr>
        <w:t>base stations</w:t>
      </w:r>
      <w:r w:rsidRPr="00874222">
        <w:t xml:space="preserve">, and </w:t>
      </w:r>
      <w:r w:rsidRPr="00874222">
        <w:rPr>
          <w:b/>
          <w:bCs/>
        </w:rPr>
        <w:t>electrical transformers</w:t>
      </w:r>
      <w:r w:rsidRPr="00874222">
        <w:t>, to reduce import dependency and stimulate domestic industries.</w:t>
      </w:r>
    </w:p>
    <w:p w:rsidR="00F76A76" w:rsidRDefault="00874222" w:rsidP="00874222">
      <w:pPr>
        <w:pStyle w:val="ListParagraph"/>
        <w:numPr>
          <w:ilvl w:val="0"/>
          <w:numId w:val="15"/>
        </w:numPr>
      </w:pPr>
      <w:r w:rsidRPr="00874222">
        <w:t xml:space="preserve"> </w:t>
      </w:r>
      <w:r w:rsidRPr="00874222">
        <w:rPr>
          <w:b/>
          <w:bCs/>
        </w:rPr>
        <w:t>Innovation Funding:</w:t>
      </w:r>
    </w:p>
    <w:p w:rsidR="00874222" w:rsidRPr="00874222" w:rsidRDefault="00874222" w:rsidP="00F76A76">
      <w:pPr>
        <w:pStyle w:val="ListParagraph"/>
        <w:numPr>
          <w:ilvl w:val="1"/>
          <w:numId w:val="15"/>
        </w:numPr>
      </w:pPr>
      <w:r w:rsidRPr="00874222">
        <w:t>Allocate targeted innovation grants based on import sensitivity, economic value, and strategic fit. Focus on high-growth sectors like telecom and electronics, ensuring that funding supports long-term sustainability and technological advancements.</w:t>
      </w:r>
    </w:p>
    <w:p w:rsidR="00F76A76" w:rsidRPr="00F76A76" w:rsidRDefault="00874222" w:rsidP="00874222">
      <w:pPr>
        <w:pStyle w:val="ListParagraph"/>
        <w:numPr>
          <w:ilvl w:val="0"/>
          <w:numId w:val="15"/>
        </w:numPr>
      </w:pPr>
      <w:r w:rsidRPr="00874222">
        <w:rPr>
          <w:b/>
          <w:bCs/>
        </w:rPr>
        <w:t>Impact Monitoring &amp; Customs Oversight:</w:t>
      </w:r>
      <w:r>
        <w:rPr>
          <w:b/>
          <w:bCs/>
        </w:rPr>
        <w:t xml:space="preserve"> </w:t>
      </w:r>
    </w:p>
    <w:p w:rsidR="00874222" w:rsidRPr="00874222" w:rsidRDefault="00874222" w:rsidP="00F76A76">
      <w:pPr>
        <w:pStyle w:val="ListParagraph"/>
        <w:numPr>
          <w:ilvl w:val="1"/>
          <w:numId w:val="15"/>
        </w:numPr>
      </w:pPr>
      <w:r w:rsidRPr="00874222">
        <w:lastRenderedPageBreak/>
        <w:t xml:space="preserve">Strengthen HS code classification and compliance auditing. Implement </w:t>
      </w:r>
      <w:r w:rsidRPr="00874222">
        <w:rPr>
          <w:b/>
          <w:bCs/>
        </w:rPr>
        <w:t>real-time alerts</w:t>
      </w:r>
      <w:r w:rsidRPr="00874222">
        <w:t xml:space="preserve"> for HS codes showing rapid growth and significant tax gaps to proactively address potential revenue leakage.</w:t>
      </w:r>
    </w:p>
    <w:p w:rsidR="00874222" w:rsidRPr="000C4904" w:rsidRDefault="00874222" w:rsidP="00874222">
      <w:pPr>
        <w:pStyle w:val="Heading1"/>
        <w:spacing w:before="0"/>
        <w:rPr>
          <w:rFonts w:ascii="Times New Roman" w:hAnsi="Times New Roman" w:cs="Times New Roman"/>
          <w:sz w:val="24"/>
          <w:szCs w:val="24"/>
        </w:rPr>
      </w:pPr>
      <w:r>
        <w:rPr>
          <w:rFonts w:ascii="Times New Roman" w:hAnsi="Times New Roman" w:cs="Times New Roman"/>
          <w:sz w:val="24"/>
          <w:szCs w:val="24"/>
        </w:rPr>
        <w:t>Conclusion</w:t>
      </w:r>
      <w:r w:rsidRPr="000C4904">
        <w:rPr>
          <w:rFonts w:ascii="Times New Roman" w:hAnsi="Times New Roman" w:cs="Times New Roman"/>
          <w:sz w:val="24"/>
          <w:szCs w:val="24"/>
        </w:rPr>
        <w:t>:</w:t>
      </w:r>
    </w:p>
    <w:p w:rsidR="00874222" w:rsidRDefault="00874222" w:rsidP="00874222">
      <w:pPr>
        <w:rPr>
          <w:rFonts w:ascii="Times New Roman" w:hAnsi="Times New Roman" w:cs="Times New Roman"/>
          <w:sz w:val="24"/>
          <w:szCs w:val="24"/>
        </w:rPr>
      </w:pPr>
      <w:r w:rsidRPr="00874222">
        <w:rPr>
          <w:rFonts w:ascii="Times New Roman" w:hAnsi="Times New Roman" w:cs="Times New Roman"/>
          <w:sz w:val="24"/>
          <w:szCs w:val="24"/>
        </w:rPr>
        <w:t>This strategic approach provides a clear framework for addressing Nigeria's import dependency challenges, optimizing tax revenue collection, and fostering innovation. By implementing targeted reforms and closely monitoring high-growth import categories, Nigeria can reduce its fiscal vulnerability and promote sustainable industrial growth.</w:t>
      </w:r>
    </w:p>
    <w:p w:rsidR="00B81F57" w:rsidRDefault="00B81F57" w:rsidP="00B81F57">
      <w:pPr>
        <w:pStyle w:val="Heading1"/>
        <w:spacing w:before="0"/>
        <w:rPr>
          <w:rFonts w:ascii="Times New Roman" w:hAnsi="Times New Roman" w:cs="Times New Roman"/>
          <w:sz w:val="24"/>
          <w:szCs w:val="24"/>
        </w:rPr>
      </w:pPr>
      <w:r>
        <w:rPr>
          <w:rFonts w:ascii="Times New Roman" w:hAnsi="Times New Roman" w:cs="Times New Roman"/>
          <w:sz w:val="24"/>
          <w:szCs w:val="24"/>
        </w:rPr>
        <w:t>Con</w:t>
      </w:r>
      <w:r>
        <w:rPr>
          <w:rFonts w:ascii="Times New Roman" w:hAnsi="Times New Roman" w:cs="Times New Roman"/>
          <w:sz w:val="24"/>
          <w:szCs w:val="24"/>
        </w:rPr>
        <w:t>tact</w:t>
      </w:r>
      <w:r w:rsidRPr="000C4904">
        <w:rPr>
          <w:rFonts w:ascii="Times New Roman" w:hAnsi="Times New Roman" w:cs="Times New Roman"/>
          <w:sz w:val="24"/>
          <w:szCs w:val="24"/>
        </w:rPr>
        <w:t>:</w:t>
      </w:r>
    </w:p>
    <w:p w:rsidR="00B81F57" w:rsidRDefault="00B81F57" w:rsidP="00B81F57">
      <w:r>
        <w:t>Team Ruby</w:t>
      </w:r>
      <w:r>
        <w:br/>
      </w:r>
      <w:hyperlink r:id="rId7" w:history="1">
        <w:r w:rsidRPr="00953346">
          <w:rPr>
            <w:rStyle w:val="Hyperlink"/>
          </w:rPr>
          <w:t>nifemifaith07@gmail.com</w:t>
        </w:r>
      </w:hyperlink>
    </w:p>
    <w:p w:rsidR="00B81F57" w:rsidRPr="00B81F57" w:rsidRDefault="00B81F57" w:rsidP="00B81F57">
      <w:hyperlink r:id="rId8" w:history="1">
        <w:r w:rsidRPr="00953346">
          <w:rPr>
            <w:rStyle w:val="Hyperlink"/>
          </w:rPr>
          <w:t>Damilolad557@gmail.com</w:t>
        </w:r>
      </w:hyperlink>
      <w:r>
        <w:t xml:space="preserve"> </w:t>
      </w:r>
    </w:p>
    <w:p w:rsidR="00B81F57" w:rsidRDefault="00B81F57" w:rsidP="00874222">
      <w:pPr>
        <w:rPr>
          <w:rFonts w:ascii="Times New Roman" w:hAnsi="Times New Roman" w:cs="Times New Roman"/>
          <w:sz w:val="24"/>
          <w:szCs w:val="24"/>
        </w:rPr>
      </w:pPr>
    </w:p>
    <w:p w:rsidR="00B81F57" w:rsidRPr="000C4904" w:rsidRDefault="00B81F57" w:rsidP="00874222">
      <w:pPr>
        <w:rPr>
          <w:rFonts w:ascii="Times New Roman" w:hAnsi="Times New Roman" w:cs="Times New Roman"/>
          <w:sz w:val="24"/>
          <w:szCs w:val="24"/>
        </w:rPr>
      </w:pPr>
    </w:p>
    <w:sectPr w:rsidR="00B81F57" w:rsidRPr="000C4904" w:rsidSect="008742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E3C55B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FE29DB"/>
    <w:multiLevelType w:val="hybridMultilevel"/>
    <w:tmpl w:val="C7606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8D24AC"/>
    <w:multiLevelType w:val="multilevel"/>
    <w:tmpl w:val="0FC0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53A0B"/>
    <w:multiLevelType w:val="multilevel"/>
    <w:tmpl w:val="E4B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F3528"/>
    <w:multiLevelType w:val="hybridMultilevel"/>
    <w:tmpl w:val="B080CAC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743B91"/>
    <w:multiLevelType w:val="multilevel"/>
    <w:tmpl w:val="C528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845235"/>
    <w:multiLevelType w:val="multilevel"/>
    <w:tmpl w:val="0E08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507916">
    <w:abstractNumId w:val="8"/>
  </w:num>
  <w:num w:numId="2" w16cid:durableId="1215896062">
    <w:abstractNumId w:val="6"/>
  </w:num>
  <w:num w:numId="3" w16cid:durableId="219291164">
    <w:abstractNumId w:val="5"/>
  </w:num>
  <w:num w:numId="4" w16cid:durableId="1210652600">
    <w:abstractNumId w:val="4"/>
  </w:num>
  <w:num w:numId="5" w16cid:durableId="563223117">
    <w:abstractNumId w:val="7"/>
  </w:num>
  <w:num w:numId="6" w16cid:durableId="1798450766">
    <w:abstractNumId w:val="3"/>
  </w:num>
  <w:num w:numId="7" w16cid:durableId="248462616">
    <w:abstractNumId w:val="2"/>
  </w:num>
  <w:num w:numId="8" w16cid:durableId="1287811443">
    <w:abstractNumId w:val="1"/>
  </w:num>
  <w:num w:numId="9" w16cid:durableId="1181774953">
    <w:abstractNumId w:val="0"/>
  </w:num>
  <w:num w:numId="10" w16cid:durableId="159126905">
    <w:abstractNumId w:val="9"/>
  </w:num>
  <w:num w:numId="11" w16cid:durableId="2037804666">
    <w:abstractNumId w:val="13"/>
  </w:num>
  <w:num w:numId="12" w16cid:durableId="1659646556">
    <w:abstractNumId w:val="14"/>
  </w:num>
  <w:num w:numId="13" w16cid:durableId="1355770701">
    <w:abstractNumId w:val="11"/>
  </w:num>
  <w:num w:numId="14" w16cid:durableId="2024167007">
    <w:abstractNumId w:val="10"/>
  </w:num>
  <w:num w:numId="15" w16cid:durableId="7353248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4904"/>
    <w:rsid w:val="0015074B"/>
    <w:rsid w:val="001D2A0F"/>
    <w:rsid w:val="0029639D"/>
    <w:rsid w:val="00326F90"/>
    <w:rsid w:val="00553233"/>
    <w:rsid w:val="006177D2"/>
    <w:rsid w:val="008677F8"/>
    <w:rsid w:val="00874222"/>
    <w:rsid w:val="00A40D5A"/>
    <w:rsid w:val="00AA1D8D"/>
    <w:rsid w:val="00B47730"/>
    <w:rsid w:val="00B81F57"/>
    <w:rsid w:val="00C84E3E"/>
    <w:rsid w:val="00CB0664"/>
    <w:rsid w:val="00D5673C"/>
    <w:rsid w:val="00F76A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4AC0A"/>
  <w14:defaultImageDpi w14:val="300"/>
  <w15:docId w15:val="{0A884E22-4B9B-4E72-95F7-924A752B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81F57"/>
    <w:rPr>
      <w:color w:val="0000FF" w:themeColor="hyperlink"/>
      <w:u w:val="single"/>
    </w:rPr>
  </w:style>
  <w:style w:type="character" w:styleId="UnresolvedMention">
    <w:name w:val="Unresolved Mention"/>
    <w:basedOn w:val="DefaultParagraphFont"/>
    <w:uiPriority w:val="99"/>
    <w:semiHidden/>
    <w:unhideWhenUsed/>
    <w:rsid w:val="00B81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696503">
      <w:bodyDiv w:val="1"/>
      <w:marLeft w:val="0"/>
      <w:marRight w:val="0"/>
      <w:marTop w:val="0"/>
      <w:marBottom w:val="0"/>
      <w:divBdr>
        <w:top w:val="none" w:sz="0" w:space="0" w:color="auto"/>
        <w:left w:val="none" w:sz="0" w:space="0" w:color="auto"/>
        <w:bottom w:val="none" w:sz="0" w:space="0" w:color="auto"/>
        <w:right w:val="none" w:sz="0" w:space="0" w:color="auto"/>
      </w:divBdr>
    </w:div>
    <w:div w:id="432242541">
      <w:bodyDiv w:val="1"/>
      <w:marLeft w:val="0"/>
      <w:marRight w:val="0"/>
      <w:marTop w:val="0"/>
      <w:marBottom w:val="0"/>
      <w:divBdr>
        <w:top w:val="none" w:sz="0" w:space="0" w:color="auto"/>
        <w:left w:val="none" w:sz="0" w:space="0" w:color="auto"/>
        <w:bottom w:val="none" w:sz="0" w:space="0" w:color="auto"/>
        <w:right w:val="none" w:sz="0" w:space="0" w:color="auto"/>
      </w:divBdr>
    </w:div>
    <w:div w:id="1010334044">
      <w:bodyDiv w:val="1"/>
      <w:marLeft w:val="0"/>
      <w:marRight w:val="0"/>
      <w:marTop w:val="0"/>
      <w:marBottom w:val="0"/>
      <w:divBdr>
        <w:top w:val="none" w:sz="0" w:space="0" w:color="auto"/>
        <w:left w:val="none" w:sz="0" w:space="0" w:color="auto"/>
        <w:bottom w:val="none" w:sz="0" w:space="0" w:color="auto"/>
        <w:right w:val="none" w:sz="0" w:space="0" w:color="auto"/>
      </w:divBdr>
    </w:div>
    <w:div w:id="1171488045">
      <w:bodyDiv w:val="1"/>
      <w:marLeft w:val="0"/>
      <w:marRight w:val="0"/>
      <w:marTop w:val="0"/>
      <w:marBottom w:val="0"/>
      <w:divBdr>
        <w:top w:val="none" w:sz="0" w:space="0" w:color="auto"/>
        <w:left w:val="none" w:sz="0" w:space="0" w:color="auto"/>
        <w:bottom w:val="none" w:sz="0" w:space="0" w:color="auto"/>
        <w:right w:val="none" w:sz="0" w:space="0" w:color="auto"/>
      </w:divBdr>
    </w:div>
    <w:div w:id="2024624699">
      <w:bodyDiv w:val="1"/>
      <w:marLeft w:val="0"/>
      <w:marRight w:val="0"/>
      <w:marTop w:val="0"/>
      <w:marBottom w:val="0"/>
      <w:divBdr>
        <w:top w:val="none" w:sz="0" w:space="0" w:color="auto"/>
        <w:left w:val="none" w:sz="0" w:space="0" w:color="auto"/>
        <w:bottom w:val="none" w:sz="0" w:space="0" w:color="auto"/>
        <w:right w:val="none" w:sz="0" w:space="0" w:color="auto"/>
      </w:divBdr>
    </w:div>
    <w:div w:id="21336647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ilolad557@gmail.com" TargetMode="External"/><Relationship Id="rId3" Type="http://schemas.openxmlformats.org/officeDocument/2006/relationships/styles" Target="styles.xml"/><Relationship Id="rId7" Type="http://schemas.openxmlformats.org/officeDocument/2006/relationships/hyperlink" Target="mailto:nifemifaith0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Faith Amuda</cp:lastModifiedBy>
  <cp:revision>2</cp:revision>
  <dcterms:created xsi:type="dcterms:W3CDTF">2025-05-06T19:51:00Z</dcterms:created>
  <dcterms:modified xsi:type="dcterms:W3CDTF">2025-05-06T19:51:00Z</dcterms:modified>
  <cp:category/>
</cp:coreProperties>
</file>