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077E9" w:rsidRDefault="00F52382" w:rsidP="00D70D02">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-297180</wp:posOffset>
                </wp:positionH>
                <wp:positionV relativeFrom="page">
                  <wp:posOffset>708546</wp:posOffset>
                </wp:positionV>
                <wp:extent cx="473202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73202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34F77" id="Rectangle 3" o:spid="_x0000_s1026" alt="white rectangle for text on cover" style="position:absolute;margin-left:-23.4pt;margin-top:55.8pt;width:372.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" fillcolor="white [3212]" stroked="f" strokeweight="2pt">
                <w10:wrap anchory="page"/>
              </v:rect>
            </w:pict>
          </mc:Fallback>
        </mc:AlternateContent>
      </w:r>
      <w:r>
        <w:rPr>
          <w:noProof/>
        </w:rPr>
        <w:drawing>
          <wp:anchor distT="0" distB="0" distL="114300" distR="114300" simplePos="0" relativeHeight="251658240" behindDoc="1" locked="0" layoutInCell="1" allowOverlap="1" wp14:anchorId="147AB9FC" wp14:editId="433DA222">
            <wp:simplePos x="0" y="0"/>
            <wp:positionH relativeFrom="column">
              <wp:posOffset>-710972</wp:posOffset>
            </wp:positionH>
            <wp:positionV relativeFrom="page">
              <wp:posOffset>10274</wp:posOffset>
            </wp:positionV>
            <wp:extent cx="7760970" cy="661655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745" cy="662659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875"/>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4365694" cy="1458930"/>
                      <wp:effectExtent l="0" t="0" r="0" b="0"/>
                      <wp:docPr id="8" name="Text Box 8"/>
                      <wp:cNvGraphicFramePr/>
                      <a:graphic xmlns:a="http://schemas.openxmlformats.org/drawingml/2006/main">
                        <a:graphicData uri="http://schemas.microsoft.com/office/word/2010/wordprocessingShape">
                          <wps:wsp>
                            <wps:cNvSpPr txBox="1"/>
                            <wps:spPr>
                              <a:xfrm>
                                <a:off x="0" y="0"/>
                                <a:ext cx="4365694" cy="1458930"/>
                              </a:xfrm>
                              <a:prstGeom prst="rect">
                                <a:avLst/>
                              </a:prstGeom>
                              <a:noFill/>
                              <a:ln w="6350">
                                <a:noFill/>
                              </a:ln>
                            </wps:spPr>
                            <wps:txbx>
                              <w:txbxContent>
                                <w:p w:rsidR="00D077E9" w:rsidRPr="00157389" w:rsidRDefault="00F52382" w:rsidP="00D077E9">
                                  <w:pPr>
                                    <w:pStyle w:val="Title"/>
                                    <w:spacing w:after="0"/>
                                    <w:rPr>
                                      <w:rFonts w:ascii="Times New Roman" w:hAnsi="Times New Roman" w:cs="Times New Roman"/>
                                      <w:sz w:val="56"/>
                                      <w:szCs w:val="56"/>
                                    </w:rPr>
                                  </w:pPr>
                                  <w:r w:rsidRPr="00157389">
                                    <w:rPr>
                                      <w:rFonts w:ascii="Times New Roman" w:hAnsi="Times New Roman" w:cs="Times New Roman"/>
                                      <w:sz w:val="56"/>
                                      <w:szCs w:val="56"/>
                                    </w:rPr>
                                    <w:t>Driving Strategic Import Reforms through Advanced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343.75pt;height:1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" filled="f" stroked="f" strokeweight=".5pt">
                      <v:textbox>
                        <w:txbxContent>
                          <w:p w:rsidR="00D077E9" w:rsidRPr="00157389" w:rsidRDefault="00F52382" w:rsidP="00D077E9">
                            <w:pPr>
                              <w:pStyle w:val="Title"/>
                              <w:spacing w:after="0"/>
                              <w:rPr>
                                <w:rFonts w:ascii="Times New Roman" w:hAnsi="Times New Roman" w:cs="Times New Roman"/>
                                <w:sz w:val="56"/>
                                <w:szCs w:val="56"/>
                              </w:rPr>
                            </w:pPr>
                            <w:r w:rsidRPr="00157389">
                              <w:rPr>
                                <w:rFonts w:ascii="Times New Roman" w:hAnsi="Times New Roman" w:cs="Times New Roman"/>
                                <w:sz w:val="56"/>
                                <w:szCs w:val="56"/>
                              </w:rPr>
                              <w:t>Driving Strategic Import Reforms through Advanced Analytics</w:t>
                            </w: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A9A7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16C27AF7280F4D95AE2654F0DFA3DE5A"/>
              </w:placeholder>
              <w15:appearance w15:val="hidden"/>
            </w:sdt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52382">
                  <w:rPr>
                    <w:rStyle w:val="SubtitleChar"/>
                    <w:b w:val="0"/>
                    <w:noProof/>
                  </w:rPr>
                  <w:t>May 6</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F69B2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F52382" w:rsidP="00D077E9">
            <w:r>
              <w:t>ZION TECH HUB</w:t>
            </w:r>
          </w:p>
          <w:p w:rsidR="00D077E9" w:rsidRDefault="00D077E9" w:rsidP="00D077E9">
            <w:r w:rsidRPr="00B231E5">
              <w:t>Authored by:</w:t>
            </w:r>
            <w:r>
              <w:t xml:space="preserve"> </w:t>
            </w:r>
            <w:sdt>
              <w:sdtPr>
                <w:alias w:val="Your Name"/>
                <w:tag w:val="Your Name"/>
                <w:id w:val="-180584491"/>
                <w:placeholder>
                  <w:docPart w:val="2A15247D66A84CD28A0ADB9E70CD325C"/>
                </w:placeholder>
                <w:dataBinding w:prefixMappings="xmlns:ns0='http://schemas.microsoft.com/office/2006/coverPageProps' " w:xpath="/ns0:CoverPageProperties[1]/ns0:CompanyFax[1]" w:storeItemID="{55AF091B-3C7A-41E3-B477-F2FDAA23CFDA}"/>
                <w15:appearance w15:val="hidden"/>
                <w:text w:multiLine="1"/>
              </w:sdtPr>
              <w:sdtContent>
                <w:r w:rsidR="00F52382">
                  <w:t>Team Ruby</w:t>
                </w:r>
              </w:sdtContent>
            </w:sdt>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-739758</wp:posOffset>
                </wp:positionH>
                <wp:positionV relativeFrom="page">
                  <wp:align>bottom</wp:align>
                </wp:positionV>
                <wp:extent cx="7760970" cy="3641124"/>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641124"/>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4670D" id="Rectangle 2" o:spid="_x0000_s1026" alt="colored rectangle" style="position:absolute;margin-left:-58.25pt;margin-top:0;width:611.1pt;height:286.7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" fillcolor="#34aba2 [3206]" stroked="f" strokeweight="2pt">
                <w10:wrap anchory="page"/>
              </v:rect>
            </w:pict>
          </mc:Fallback>
        </mc:AlternateContent>
      </w:r>
      <w:r>
        <w:br w:type="page"/>
      </w:r>
    </w:p>
    <w:p w:rsidR="00D077E9" w:rsidRPr="00157389" w:rsidRDefault="00157389" w:rsidP="00157389">
      <w:pPr>
        <w:pStyle w:val="Heading1"/>
        <w:jc w:val="center"/>
        <w:rPr>
          <w:rFonts w:ascii="Times New Roman" w:hAnsi="Times New Roman" w:cs="Times New Roman"/>
          <w:sz w:val="40"/>
          <w:szCs w:val="40"/>
        </w:rPr>
      </w:pPr>
      <w:r w:rsidRPr="00157389">
        <w:rPr>
          <w:rFonts w:ascii="Times New Roman" w:hAnsi="Times New Roman" w:cs="Times New Roman"/>
          <w:sz w:val="40"/>
          <w:szCs w:val="40"/>
        </w:rPr>
        <w:lastRenderedPageBreak/>
        <w:t>Outline</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1. Introduction</w:t>
      </w:r>
    </w:p>
    <w:p w:rsidR="00157389" w:rsidRPr="00157389" w:rsidRDefault="00157389" w:rsidP="00157389">
      <w:pPr>
        <w:numPr>
          <w:ilvl w:val="0"/>
          <w:numId w:val="1"/>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Background</w:t>
      </w:r>
    </w:p>
    <w:p w:rsidR="00157389" w:rsidRPr="00157389" w:rsidRDefault="00157389" w:rsidP="00157389">
      <w:pPr>
        <w:numPr>
          <w:ilvl w:val="0"/>
          <w:numId w:val="1"/>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Objectives of the Analysis</w:t>
      </w:r>
    </w:p>
    <w:p w:rsidR="00157389" w:rsidRPr="00157389" w:rsidRDefault="00157389" w:rsidP="00157389">
      <w:pPr>
        <w:numPr>
          <w:ilvl w:val="0"/>
          <w:numId w:val="1"/>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Scope and HS Code Focus</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2. Methodology</w:t>
      </w:r>
    </w:p>
    <w:p w:rsidR="00157389" w:rsidRPr="00157389" w:rsidRDefault="00157389" w:rsidP="00157389">
      <w:pPr>
        <w:numPr>
          <w:ilvl w:val="0"/>
          <w:numId w:val="2"/>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Data Sources</w:t>
      </w:r>
    </w:p>
    <w:p w:rsidR="00157389" w:rsidRPr="00157389" w:rsidRDefault="00157389" w:rsidP="00157389">
      <w:pPr>
        <w:numPr>
          <w:ilvl w:val="0"/>
          <w:numId w:val="2"/>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Tools Used</w:t>
      </w:r>
    </w:p>
    <w:p w:rsidR="00157389" w:rsidRPr="00157389" w:rsidRDefault="00157389" w:rsidP="00157389">
      <w:pPr>
        <w:numPr>
          <w:ilvl w:val="0"/>
          <w:numId w:val="2"/>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Analytical Techniques (Cleaning, Forecasting, Anomaly Detection, Modeling)</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3. Key Findings</w:t>
      </w:r>
    </w:p>
    <w:p w:rsidR="00157389" w:rsidRPr="00157389" w:rsidRDefault="00157389" w:rsidP="00157389">
      <w:pPr>
        <w:numPr>
          <w:ilvl w:val="0"/>
          <w:numId w:val="3"/>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Import Volume Trends and Forecast</w:t>
      </w:r>
    </w:p>
    <w:p w:rsidR="00157389" w:rsidRPr="00157389" w:rsidRDefault="00157389" w:rsidP="00157389">
      <w:pPr>
        <w:numPr>
          <w:ilvl w:val="0"/>
          <w:numId w:val="3"/>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Tax Revenue Trends, Forecast, and Leakage</w:t>
      </w:r>
    </w:p>
    <w:p w:rsidR="00157389" w:rsidRPr="00157389" w:rsidRDefault="00157389" w:rsidP="00157389">
      <w:pPr>
        <w:numPr>
          <w:ilvl w:val="0"/>
          <w:numId w:val="3"/>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Fastest Growing Import Categories</w:t>
      </w:r>
    </w:p>
    <w:p w:rsidR="00157389" w:rsidRPr="00157389" w:rsidRDefault="00157389" w:rsidP="00157389">
      <w:pPr>
        <w:numPr>
          <w:ilvl w:val="0"/>
          <w:numId w:val="3"/>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Opportunities for Import Substitution</w:t>
      </w:r>
    </w:p>
    <w:p w:rsidR="00157389" w:rsidRPr="00157389" w:rsidRDefault="00157389" w:rsidP="00157389">
      <w:pPr>
        <w:numPr>
          <w:ilvl w:val="0"/>
          <w:numId w:val="3"/>
        </w:numPr>
        <w:spacing w:after="160" w:line="240"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Innovation Funding Insights</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4. Policy Implications</w:t>
      </w:r>
    </w:p>
    <w:p w:rsidR="00157389" w:rsidRPr="00157389" w:rsidRDefault="00157389" w:rsidP="00157389">
      <w:pPr>
        <w:numPr>
          <w:ilvl w:val="0"/>
          <w:numId w:val="4"/>
        </w:num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Taxation Policy Reform</w:t>
      </w:r>
    </w:p>
    <w:p w:rsidR="00157389" w:rsidRPr="00157389" w:rsidRDefault="00157389" w:rsidP="00157389">
      <w:pPr>
        <w:numPr>
          <w:ilvl w:val="0"/>
          <w:numId w:val="4"/>
        </w:num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Strategic Import Substitution</w:t>
      </w:r>
    </w:p>
    <w:p w:rsidR="00157389" w:rsidRPr="00157389" w:rsidRDefault="00157389" w:rsidP="00157389">
      <w:pPr>
        <w:numPr>
          <w:ilvl w:val="0"/>
          <w:numId w:val="4"/>
        </w:num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Innovation Funding Allocation</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5. Recommendations</w:t>
      </w:r>
    </w:p>
    <w:p w:rsidR="00157389" w:rsidRPr="00157389" w:rsidRDefault="00157389" w:rsidP="00157389">
      <w:p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6. Visual Insights</w:t>
      </w:r>
    </w:p>
    <w:p w:rsidR="00157389" w:rsidRPr="00157389" w:rsidRDefault="00157389" w:rsidP="00157389">
      <w:pPr>
        <w:numPr>
          <w:ilvl w:val="0"/>
          <w:numId w:val="6"/>
        </w:numPr>
        <w:spacing w:after="160" w:line="278" w:lineRule="auto"/>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 xml:space="preserve">Charts, Tables, Forecast Graphs </w:t>
      </w:r>
    </w:p>
    <w:p w:rsidR="00963B39" w:rsidRPr="00963B39" w:rsidRDefault="00963B39" w:rsidP="00963B39">
      <w:pPr>
        <w:spacing w:line="278" w:lineRule="auto"/>
        <w:rPr>
          <w:rFonts w:ascii="Times New Roman" w:eastAsia="Aptos" w:hAnsi="Times New Roman" w:cs="Times New Roman"/>
          <w:bCs/>
          <w:color w:val="auto"/>
          <w:kern w:val="2"/>
          <w:sz w:val="24"/>
          <w:szCs w:val="20"/>
          <w14:ligatures w14:val="standardContextual"/>
        </w:rPr>
      </w:pPr>
      <w:r w:rsidRPr="00963B39">
        <w:rPr>
          <w:rFonts w:ascii="Times New Roman" w:eastAsia="Aptos" w:hAnsi="Times New Roman" w:cs="Times New Roman"/>
          <w:bCs/>
          <w:color w:val="auto"/>
          <w:kern w:val="2"/>
          <w:sz w:val="24"/>
          <w:szCs w:val="20"/>
          <w14:ligatures w14:val="standardContextual"/>
        </w:rPr>
        <w:t>7. Limitations and Next Steps</w:t>
      </w:r>
    </w:p>
    <w:p w:rsidR="00963B39" w:rsidRPr="00963B39" w:rsidRDefault="00963B39" w:rsidP="00963B39">
      <w:pPr>
        <w:spacing w:after="160" w:line="278" w:lineRule="auto"/>
        <w:rPr>
          <w:rFonts w:ascii="Times New Roman" w:eastAsia="Aptos" w:hAnsi="Times New Roman" w:cs="Times New Roman"/>
          <w:bCs/>
          <w:color w:val="auto"/>
          <w:kern w:val="2"/>
          <w:sz w:val="24"/>
          <w:szCs w:val="24"/>
          <w14:ligatures w14:val="standardContextual"/>
        </w:rPr>
      </w:pPr>
      <w:r w:rsidRPr="00963B39">
        <w:rPr>
          <w:rFonts w:ascii="Times New Roman" w:eastAsia="Aptos" w:hAnsi="Times New Roman" w:cs="Times New Roman"/>
          <w:bCs/>
          <w:color w:val="auto"/>
          <w:kern w:val="2"/>
          <w:sz w:val="24"/>
          <w:szCs w:val="24"/>
          <w14:ligatures w14:val="standardContextual"/>
        </w:rPr>
        <w:t>8. References and Links</w:t>
      </w:r>
    </w:p>
    <w:p w:rsidR="005C22D1" w:rsidRDefault="005C22D1" w:rsidP="005C22D1">
      <w:pPr>
        <w:spacing w:after="160" w:line="278" w:lineRule="auto"/>
        <w:rPr>
          <w:rFonts w:ascii="Times New Roman" w:eastAsia="Aptos" w:hAnsi="Times New Roman" w:cs="Times New Roman"/>
          <w:b w:val="0"/>
          <w:color w:val="auto"/>
          <w:kern w:val="2"/>
          <w:sz w:val="24"/>
          <w:szCs w:val="24"/>
          <w14:ligatures w14:val="standardContextual"/>
        </w:rPr>
      </w:pPr>
    </w:p>
    <w:p w:rsidR="005C22D1" w:rsidRDefault="005C22D1" w:rsidP="005C22D1">
      <w:pPr>
        <w:spacing w:after="160" w:line="278" w:lineRule="auto"/>
        <w:rPr>
          <w:rFonts w:ascii="Times New Roman" w:eastAsia="Aptos" w:hAnsi="Times New Roman" w:cs="Times New Roman"/>
          <w:b w:val="0"/>
          <w:color w:val="auto"/>
          <w:kern w:val="2"/>
          <w:sz w:val="24"/>
          <w:szCs w:val="24"/>
          <w14:ligatures w14:val="standardContextual"/>
        </w:rPr>
      </w:pPr>
    </w:p>
    <w:p w:rsidR="00A20A13" w:rsidRDefault="00A20A13" w:rsidP="005C22D1">
      <w:pPr>
        <w:spacing w:after="160" w:line="278" w:lineRule="auto"/>
        <w:rPr>
          <w:rFonts w:ascii="Times New Roman" w:eastAsia="Aptos" w:hAnsi="Times New Roman" w:cs="Times New Roman"/>
          <w:b w:val="0"/>
          <w:color w:val="auto"/>
          <w:kern w:val="2"/>
          <w:sz w:val="24"/>
          <w:szCs w:val="24"/>
          <w14:ligatures w14:val="standardContextual"/>
        </w:rPr>
      </w:pPr>
    </w:p>
    <w:p w:rsidR="00A20A13" w:rsidRDefault="00A20A13" w:rsidP="005C22D1">
      <w:pPr>
        <w:spacing w:after="160" w:line="278" w:lineRule="auto"/>
        <w:rPr>
          <w:rFonts w:ascii="Times New Roman" w:eastAsia="Aptos" w:hAnsi="Times New Roman" w:cs="Times New Roman"/>
          <w:b w:val="0"/>
          <w:color w:val="auto"/>
          <w:kern w:val="2"/>
          <w:sz w:val="24"/>
          <w:szCs w:val="24"/>
          <w14:ligatures w14:val="standardContextual"/>
        </w:rPr>
      </w:pPr>
    </w:p>
    <w:p w:rsidR="00A20A13" w:rsidRPr="00157389" w:rsidRDefault="00A20A13" w:rsidP="005C22D1">
      <w:pPr>
        <w:spacing w:after="160" w:line="278" w:lineRule="auto"/>
        <w:rPr>
          <w:rFonts w:ascii="Times New Roman" w:eastAsia="Aptos" w:hAnsi="Times New Roman" w:cs="Times New Roman"/>
          <w:b w:val="0"/>
          <w:color w:val="auto"/>
          <w:kern w:val="2"/>
          <w:sz w:val="24"/>
          <w:szCs w:val="24"/>
          <w14:ligatures w14:val="standardContextual"/>
        </w:rPr>
      </w:pPr>
    </w:p>
    <w:p w:rsidR="00157389" w:rsidRDefault="00963B39" w:rsidP="00157389">
      <w:pPr>
        <w:pStyle w:val="Heading1"/>
        <w:jc w:val="center"/>
        <w:rPr>
          <w:sz w:val="40"/>
          <w:szCs w:val="40"/>
        </w:rPr>
      </w:pPr>
      <w:r>
        <w:rPr>
          <w:sz w:val="40"/>
          <w:szCs w:val="40"/>
        </w:rPr>
        <w:lastRenderedPageBreak/>
        <w:t>INTRODUCTION</w:t>
      </w:r>
    </w:p>
    <w:p w:rsidR="0087605E" w:rsidRDefault="0087605E" w:rsidP="00DF027C"/>
    <w:p w:rsidR="00157389" w:rsidRDefault="00157389" w:rsidP="002F1E96">
      <w:pPr>
        <w:spacing w:after="160"/>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Background</w:t>
      </w:r>
    </w:p>
    <w:p w:rsidR="00157389" w:rsidRDefault="00157389" w:rsidP="002F1E96">
      <w:pPr>
        <w:spacing w:after="160"/>
        <w:ind w:left="3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This report presents insights from a data-driven analysis of Nigeria’s imports under HS Code 85 (Electrical Machinery and Equipment). The objective was to uncover trends in import volumes and tax performance, identify fast-growing import categories, and simulate policy interventions that can guide strategic reforms. The overarching goal is to support government decision-making in optimizing import taxation, encouraging local innovation, and reducing external dependency.</w:t>
      </w:r>
    </w:p>
    <w:p w:rsidR="00157389" w:rsidRDefault="00157389" w:rsidP="002F1E96">
      <w:pPr>
        <w:spacing w:after="160"/>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Objectives of the Analysis</w:t>
      </w:r>
    </w:p>
    <w:p w:rsidR="00157389" w:rsidRPr="00157389" w:rsidRDefault="00157389" w:rsidP="002F1E96">
      <w:pPr>
        <w:spacing w:after="160"/>
        <w:ind w:left="3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The analysis seeks to:</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Analyze import and tax trends under HS Code 85</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Forecast future import volumes and tax revenues</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Identify fast-growing import categories for potential regulation or incentives</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Model impact scenarios for local substitution and innovation funding</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Develop a data-driven framework for allocating innovation funds</w:t>
      </w:r>
    </w:p>
    <w:p w:rsidR="00157389" w:rsidRPr="00157389" w:rsidRDefault="00157389" w:rsidP="002F1E96">
      <w:pPr>
        <w:numPr>
          <w:ilvl w:val="0"/>
          <w:numId w:val="11"/>
        </w:numPr>
        <w:spacing w:after="160"/>
        <w:rPr>
          <w:rFonts w:ascii="Times New Roman" w:eastAsia="Aptos" w:hAnsi="Times New Roman" w:cs="Times New Roman"/>
          <w:b w:val="0"/>
          <w:color w:val="auto"/>
          <w:kern w:val="2"/>
          <w:sz w:val="24"/>
          <w:szCs w:val="24"/>
          <w14:ligatures w14:val="standardContextual"/>
        </w:rPr>
      </w:pPr>
      <w:r w:rsidRPr="00157389">
        <w:rPr>
          <w:rFonts w:ascii="Times New Roman" w:eastAsia="Aptos" w:hAnsi="Times New Roman" w:cs="Times New Roman"/>
          <w:b w:val="0"/>
          <w:color w:val="auto"/>
          <w:kern w:val="2"/>
          <w:sz w:val="24"/>
          <w:szCs w:val="24"/>
          <w14:ligatures w14:val="standardContextual"/>
        </w:rPr>
        <w:t>Provide actionable policy recommendations to improve revenue collection and enhance national self-sufficiency</w:t>
      </w:r>
    </w:p>
    <w:p w:rsidR="00157389" w:rsidRDefault="00157389" w:rsidP="002F1E96">
      <w:pPr>
        <w:spacing w:after="160"/>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Scope and HS Code Focus</w:t>
      </w:r>
    </w:p>
    <w:p w:rsidR="002F1E96" w:rsidRPr="002F1E96" w:rsidRDefault="002F1E96" w:rsidP="002F1E96">
      <w:pPr>
        <w:spacing w:after="160"/>
        <w:ind w:left="3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 xml:space="preserve">This report focuses on </w:t>
      </w:r>
      <w:r w:rsidRPr="002F1E96">
        <w:rPr>
          <w:rFonts w:ascii="Times New Roman" w:eastAsia="Times New Roman" w:hAnsi="Times New Roman" w:cs="Times New Roman"/>
          <w:bCs/>
          <w:color w:val="auto"/>
          <w:sz w:val="24"/>
          <w:szCs w:val="24"/>
        </w:rPr>
        <w:t>HS Code 85</w:t>
      </w:r>
      <w:r w:rsidRPr="002F1E96">
        <w:rPr>
          <w:rFonts w:ascii="Times New Roman" w:eastAsia="Times New Roman" w:hAnsi="Times New Roman" w:cs="Times New Roman"/>
          <w:b w:val="0"/>
          <w:color w:val="auto"/>
          <w:sz w:val="24"/>
          <w:szCs w:val="24"/>
        </w:rPr>
        <w:t>, which covers a broad range of electrical machinery and equipment, including transformers, generators, telecommunication devices, and components. The dataset includes import records from 2023, enhanced with estimated tax rates, growth trends, and substitution potential. Key focus areas include:</w:t>
      </w:r>
    </w:p>
    <w:p w:rsidR="002F1E96" w:rsidRPr="002F1E96" w:rsidRDefault="002F1E96" w:rsidP="002F1E96">
      <w:pPr>
        <w:numPr>
          <w:ilvl w:val="0"/>
          <w:numId w:val="12"/>
        </w:numPr>
        <w:spacing w:after="1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Import trends and forecasting</w:t>
      </w:r>
    </w:p>
    <w:p w:rsidR="002F1E96" w:rsidRPr="002F1E96" w:rsidRDefault="002F1E96" w:rsidP="002F1E96">
      <w:pPr>
        <w:numPr>
          <w:ilvl w:val="0"/>
          <w:numId w:val="12"/>
        </w:numPr>
        <w:spacing w:after="1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Tax performance and anomaly detection</w:t>
      </w:r>
    </w:p>
    <w:p w:rsidR="002F1E96" w:rsidRPr="002F1E96" w:rsidRDefault="002F1E96" w:rsidP="002F1E96">
      <w:pPr>
        <w:numPr>
          <w:ilvl w:val="0"/>
          <w:numId w:val="12"/>
        </w:numPr>
        <w:spacing w:after="1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High-growth import categories</w:t>
      </w:r>
    </w:p>
    <w:p w:rsidR="002F1E96" w:rsidRPr="002F1E96" w:rsidRDefault="002F1E96" w:rsidP="002F1E96">
      <w:pPr>
        <w:numPr>
          <w:ilvl w:val="0"/>
          <w:numId w:val="12"/>
        </w:numPr>
        <w:spacing w:after="1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Simulation of import substitution impacts</w:t>
      </w:r>
    </w:p>
    <w:p w:rsidR="002F1E96" w:rsidRPr="002F1E96" w:rsidRDefault="002F1E96" w:rsidP="002F1E96">
      <w:pPr>
        <w:numPr>
          <w:ilvl w:val="0"/>
          <w:numId w:val="12"/>
        </w:numPr>
        <w:spacing w:after="160"/>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Strategic allocation of innovation funding</w:t>
      </w:r>
    </w:p>
    <w:p w:rsidR="00157389" w:rsidRPr="00157389" w:rsidRDefault="00157389" w:rsidP="002F1E96">
      <w:pPr>
        <w:spacing w:after="160"/>
        <w:ind w:left="360"/>
        <w:rPr>
          <w:rFonts w:ascii="Times New Roman" w:eastAsia="Aptos" w:hAnsi="Times New Roman" w:cs="Times New Roman"/>
          <w:bCs/>
          <w:color w:val="auto"/>
          <w:kern w:val="2"/>
          <w:sz w:val="24"/>
          <w:szCs w:val="24"/>
          <w14:ligatures w14:val="standardContextual"/>
        </w:rPr>
      </w:pPr>
    </w:p>
    <w:p w:rsidR="00F52382" w:rsidRDefault="00F52382" w:rsidP="002F1E96"/>
    <w:p w:rsidR="002F1E96" w:rsidRDefault="002F1E96" w:rsidP="002F1E96"/>
    <w:p w:rsidR="002F1E96" w:rsidRDefault="002F1E96" w:rsidP="002F1E96"/>
    <w:p w:rsidR="002F1E96" w:rsidRPr="002F1E96" w:rsidRDefault="002F1E96" w:rsidP="002F1E96">
      <w:pPr>
        <w:pStyle w:val="Heading1"/>
        <w:jc w:val="center"/>
        <w:rPr>
          <w:rFonts w:ascii="Times New Roman" w:hAnsi="Times New Roman" w:cs="Times New Roman"/>
          <w:sz w:val="40"/>
          <w:szCs w:val="40"/>
        </w:rPr>
      </w:pPr>
      <w:r w:rsidRPr="002F1E96">
        <w:rPr>
          <w:rFonts w:ascii="Times New Roman" w:hAnsi="Times New Roman" w:cs="Times New Roman"/>
          <w:sz w:val="40"/>
          <w:szCs w:val="40"/>
        </w:rPr>
        <w:lastRenderedPageBreak/>
        <w:t>METHODOLOGY</w:t>
      </w:r>
    </w:p>
    <w:p w:rsidR="002F1E96" w:rsidRPr="002F1E96" w:rsidRDefault="002F1E96" w:rsidP="002F1E96">
      <w:pPr>
        <w:spacing w:before="100" w:beforeAutospacing="1" w:after="100" w:afterAutospacing="1" w:line="240" w:lineRule="auto"/>
        <w:outlineLvl w:val="2"/>
        <w:rPr>
          <w:rFonts w:ascii="Times New Roman" w:eastAsia="Times New Roman" w:hAnsi="Times New Roman" w:cs="Times New Roman"/>
          <w:bCs/>
          <w:color w:val="auto"/>
          <w:sz w:val="27"/>
          <w:szCs w:val="27"/>
        </w:rPr>
      </w:pPr>
      <w:r w:rsidRPr="002F1E96">
        <w:rPr>
          <w:rFonts w:ascii="Times New Roman" w:eastAsia="Times New Roman" w:hAnsi="Times New Roman" w:cs="Times New Roman"/>
          <w:bCs/>
          <w:color w:val="auto"/>
          <w:sz w:val="27"/>
          <w:szCs w:val="27"/>
        </w:rPr>
        <w:t>Data Sources</w:t>
      </w:r>
    </w:p>
    <w:p w:rsidR="002F1E96" w:rsidRPr="002F1E96" w:rsidRDefault="002F1E96" w:rsidP="002F1E96">
      <w:p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The analysis draws primarily from two structured datasets</w:t>
      </w:r>
      <w:r>
        <w:rPr>
          <w:rFonts w:ascii="Times New Roman" w:eastAsia="Times New Roman" w:hAnsi="Times New Roman" w:cs="Times New Roman"/>
          <w:b w:val="0"/>
          <w:color w:val="auto"/>
          <w:sz w:val="24"/>
          <w:szCs w:val="24"/>
        </w:rPr>
        <w:t>:</w:t>
      </w:r>
    </w:p>
    <w:p w:rsidR="002F1E96" w:rsidRPr="002F1E96" w:rsidRDefault="002F1E96" w:rsidP="002F1E96">
      <w:pPr>
        <w:numPr>
          <w:ilvl w:val="0"/>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ZTH Data Analysis Hackathon.xlsx</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Source:</w:t>
      </w:r>
      <w:r w:rsidRPr="002F1E96">
        <w:rPr>
          <w:rFonts w:ascii="Times New Roman" w:eastAsia="Times New Roman" w:hAnsi="Times New Roman" w:cs="Times New Roman"/>
          <w:b w:val="0"/>
          <w:color w:val="auto"/>
          <w:sz w:val="24"/>
          <w:szCs w:val="24"/>
        </w:rPr>
        <w:t xml:space="preserve"> Zion Tech Hub</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Description:</w:t>
      </w:r>
      <w:r w:rsidRPr="002F1E96">
        <w:rPr>
          <w:rFonts w:ascii="Times New Roman" w:eastAsia="Times New Roman" w:hAnsi="Times New Roman" w:cs="Times New Roman"/>
          <w:b w:val="0"/>
          <w:color w:val="auto"/>
          <w:sz w:val="24"/>
          <w:szCs w:val="24"/>
        </w:rPr>
        <w:t xml:space="preserve"> This dataset contains detailed transactional records of imports under HS Code 85 (Electrical Machinery and Equipment).</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Structure:</w:t>
      </w:r>
    </w:p>
    <w:p w:rsidR="002F1E96" w:rsidRPr="002F1E96" w:rsidRDefault="002F1E96" w:rsidP="002F1E96">
      <w:pPr>
        <w:numPr>
          <w:ilvl w:val="2"/>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Format:</w:t>
      </w:r>
      <w:r w:rsidRPr="002F1E96">
        <w:rPr>
          <w:rFonts w:ascii="Times New Roman" w:eastAsia="Times New Roman" w:hAnsi="Times New Roman" w:cs="Times New Roman"/>
          <w:b w:val="0"/>
          <w:color w:val="auto"/>
          <w:sz w:val="24"/>
          <w:szCs w:val="24"/>
        </w:rPr>
        <w:t xml:space="preserve"> Excel (.xlsx)</w:t>
      </w:r>
    </w:p>
    <w:p w:rsidR="002F1E96" w:rsidRPr="002F1E96" w:rsidRDefault="002F1E96" w:rsidP="002F1E96">
      <w:pPr>
        <w:numPr>
          <w:ilvl w:val="2"/>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Size:</w:t>
      </w:r>
      <w:r w:rsidRPr="002F1E96">
        <w:rPr>
          <w:rFonts w:ascii="Times New Roman" w:eastAsia="Times New Roman" w:hAnsi="Times New Roman" w:cs="Times New Roman"/>
          <w:b w:val="0"/>
          <w:color w:val="auto"/>
          <w:sz w:val="24"/>
          <w:szCs w:val="24"/>
        </w:rPr>
        <w:t xml:space="preserve"> 133,736 rows × 18 columns</w:t>
      </w:r>
    </w:p>
    <w:p w:rsidR="002F1E96" w:rsidRPr="002F1E96" w:rsidRDefault="002F1E96" w:rsidP="002F1E96">
      <w:pPr>
        <w:numPr>
          <w:ilvl w:val="2"/>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Key Columns:</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Custom Office</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Reg Number, Reg. Date</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Importer</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HS Code, HS Description</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FOB Value (N), CIF Value (N)</w:t>
      </w:r>
      <w:r>
        <w:rPr>
          <w:rFonts w:ascii="Times New Roman" w:eastAsia="Times New Roman" w:hAnsi="Times New Roman" w:cs="Times New Roman"/>
          <w:b w:val="0"/>
          <w:color w:val="auto"/>
          <w:sz w:val="24"/>
          <w:szCs w:val="24"/>
        </w:rPr>
        <w:t>,</w:t>
      </w:r>
      <w:r w:rsidRPr="002F1E96">
        <w:rPr>
          <w:rFonts w:ascii="Times New Roman" w:eastAsia="Times New Roman" w:hAnsi="Times New Roman" w:cs="Times New Roman"/>
          <w:b w:val="0"/>
          <w:color w:val="auto"/>
          <w:sz w:val="24"/>
          <w:szCs w:val="24"/>
        </w:rPr>
        <w:t xml:space="preserve"> </w:t>
      </w:r>
      <w:r w:rsidRPr="002F1E96">
        <w:rPr>
          <w:rFonts w:ascii="Times New Roman" w:eastAsia="Times New Roman" w:hAnsi="Times New Roman" w:cs="Times New Roman"/>
          <w:b w:val="0"/>
          <w:color w:val="auto"/>
          <w:sz w:val="24"/>
          <w:szCs w:val="24"/>
        </w:rPr>
        <w:t>Total Tax (N)</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Country of Origin/Supply</w:t>
      </w:r>
    </w:p>
    <w:p w:rsidR="002F1E96" w:rsidRPr="002F1E96" w:rsidRDefault="002F1E96" w:rsidP="002F1E96">
      <w:pPr>
        <w:numPr>
          <w:ilvl w:val="0"/>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cet_tariff.xlsx</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Source:</w:t>
      </w:r>
      <w:r w:rsidRPr="002F1E96">
        <w:rPr>
          <w:rFonts w:ascii="Times New Roman" w:eastAsia="Times New Roman" w:hAnsi="Times New Roman" w:cs="Times New Roman"/>
          <w:b w:val="0"/>
          <w:color w:val="auto"/>
          <w:sz w:val="24"/>
          <w:szCs w:val="24"/>
        </w:rPr>
        <w:t xml:space="preserve"> Nigeria Trade Portal and Nigeria Customs Service Tariff Document</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Description:</w:t>
      </w:r>
      <w:r w:rsidRPr="002F1E96">
        <w:rPr>
          <w:rFonts w:ascii="Times New Roman" w:eastAsia="Times New Roman" w:hAnsi="Times New Roman" w:cs="Times New Roman"/>
          <w:b w:val="0"/>
          <w:color w:val="auto"/>
          <w:sz w:val="24"/>
          <w:szCs w:val="24"/>
        </w:rPr>
        <w:t xml:space="preserve"> This dataset provides expected tariff breakdowns for items classified under HS Code 85.</w:t>
      </w:r>
    </w:p>
    <w:p w:rsidR="002F1E96" w:rsidRPr="002F1E96" w:rsidRDefault="002F1E96" w:rsidP="002F1E96">
      <w:pPr>
        <w:numPr>
          <w:ilvl w:val="1"/>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Structure:</w:t>
      </w:r>
    </w:p>
    <w:p w:rsidR="002F1E96" w:rsidRPr="002F1E96" w:rsidRDefault="002F1E96" w:rsidP="002F1E96">
      <w:pPr>
        <w:numPr>
          <w:ilvl w:val="2"/>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Format:</w:t>
      </w:r>
      <w:r w:rsidRPr="002F1E96">
        <w:rPr>
          <w:rFonts w:ascii="Times New Roman" w:eastAsia="Times New Roman" w:hAnsi="Times New Roman" w:cs="Times New Roman"/>
          <w:b w:val="0"/>
          <w:color w:val="auto"/>
          <w:sz w:val="24"/>
          <w:szCs w:val="24"/>
        </w:rPr>
        <w:t xml:space="preserve"> Excel (.xlsx)</w:t>
      </w:r>
    </w:p>
    <w:p w:rsidR="002F1E96" w:rsidRPr="002F1E96" w:rsidRDefault="002F1E96" w:rsidP="002F1E96">
      <w:pPr>
        <w:numPr>
          <w:ilvl w:val="2"/>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Cs/>
          <w:color w:val="auto"/>
          <w:sz w:val="24"/>
          <w:szCs w:val="24"/>
        </w:rPr>
        <w:t>Key Columns:</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CET Code</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Description</w:t>
      </w:r>
    </w:p>
    <w:p w:rsidR="002F1E96" w:rsidRPr="002F1E96" w:rsidRDefault="002F1E96" w:rsidP="002F1E96">
      <w:pPr>
        <w:numPr>
          <w:ilvl w:val="3"/>
          <w:numId w:val="15"/>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ID (Import Duty), VAT, LVY (Levy), SU (Supplementary Duty), EXC (Excise), DOV (Value Adjustment)</w:t>
      </w:r>
    </w:p>
    <w:p w:rsidR="002F1E96" w:rsidRPr="002F1E96" w:rsidRDefault="002F1E96" w:rsidP="002F1E96">
      <w:p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Together, these datasets allowed for the merging of import transaction records with their corresponding tax expectations, forming the basis for tax anomaly detection, forecasting, and policy modeling.</w:t>
      </w:r>
    </w:p>
    <w:p w:rsidR="002F1E96" w:rsidRPr="002F1E96" w:rsidRDefault="002F1E96" w:rsidP="002F1E96">
      <w:pPr>
        <w:spacing w:before="100" w:beforeAutospacing="1" w:after="100" w:afterAutospacing="1" w:line="240" w:lineRule="auto"/>
        <w:outlineLvl w:val="2"/>
        <w:rPr>
          <w:rFonts w:ascii="Times New Roman" w:eastAsia="Times New Roman" w:hAnsi="Times New Roman" w:cs="Times New Roman"/>
          <w:bCs/>
          <w:color w:val="auto"/>
          <w:sz w:val="27"/>
          <w:szCs w:val="27"/>
        </w:rPr>
      </w:pPr>
      <w:r w:rsidRPr="002F1E96">
        <w:rPr>
          <w:rFonts w:ascii="Times New Roman" w:eastAsia="Times New Roman" w:hAnsi="Times New Roman" w:cs="Times New Roman"/>
          <w:bCs/>
          <w:color w:val="auto"/>
          <w:sz w:val="27"/>
          <w:szCs w:val="27"/>
        </w:rPr>
        <w:t>Tools Used</w:t>
      </w:r>
    </w:p>
    <w:p w:rsidR="0041528A" w:rsidRPr="0041528A" w:rsidRDefault="0041528A" w:rsidP="0041528A">
      <w:p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 w:val="0"/>
          <w:color w:val="auto"/>
          <w:sz w:val="24"/>
          <w:szCs w:val="24"/>
        </w:rPr>
        <w:t>The analysis combined spreadsheet, programming, and visualization tools to ensure a robust and scalable workflow:</w:t>
      </w:r>
    </w:p>
    <w:p w:rsidR="0041528A" w:rsidRPr="0041528A" w:rsidRDefault="0041528A" w:rsidP="0041528A">
      <w:pPr>
        <w:numPr>
          <w:ilvl w:val="0"/>
          <w:numId w:val="16"/>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Microsoft Excel</w:t>
      </w:r>
      <w:r w:rsidRPr="0041528A">
        <w:rPr>
          <w:rFonts w:ascii="Times New Roman" w:eastAsia="Times New Roman" w:hAnsi="Times New Roman" w:cs="Times New Roman"/>
          <w:b w:val="0"/>
          <w:color w:val="auto"/>
          <w:sz w:val="24"/>
          <w:szCs w:val="24"/>
        </w:rPr>
        <w:t>: Used for initial data inspection, cleaning, quick aggregations, and spotting early anomalies.</w:t>
      </w:r>
    </w:p>
    <w:p w:rsidR="0041528A" w:rsidRPr="0041528A" w:rsidRDefault="0041528A" w:rsidP="0041528A">
      <w:pPr>
        <w:numPr>
          <w:ilvl w:val="0"/>
          <w:numId w:val="16"/>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Python (Pandas, Prophet, Matplotlib, Seaborn)</w:t>
      </w:r>
      <w:r w:rsidRPr="0041528A">
        <w:rPr>
          <w:rFonts w:ascii="Times New Roman" w:eastAsia="Times New Roman" w:hAnsi="Times New Roman" w:cs="Times New Roman"/>
          <w:b w:val="0"/>
          <w:color w:val="auto"/>
          <w:sz w:val="24"/>
          <w:szCs w:val="24"/>
        </w:rPr>
        <w:t>: Applied extensively for data preprocessing, forecasting (using Prophet), exploratory data analysis, and statistical modeling.</w:t>
      </w:r>
    </w:p>
    <w:p w:rsidR="0041528A" w:rsidRPr="0041528A" w:rsidRDefault="0041528A" w:rsidP="0041528A">
      <w:pPr>
        <w:numPr>
          <w:ilvl w:val="0"/>
          <w:numId w:val="16"/>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 xml:space="preserve">Google </w:t>
      </w:r>
      <w:proofErr w:type="spellStart"/>
      <w:r w:rsidRPr="0041528A">
        <w:rPr>
          <w:rFonts w:ascii="Times New Roman" w:eastAsia="Times New Roman" w:hAnsi="Times New Roman" w:cs="Times New Roman"/>
          <w:bCs/>
          <w:color w:val="auto"/>
          <w:sz w:val="24"/>
          <w:szCs w:val="24"/>
        </w:rPr>
        <w:t>Colab</w:t>
      </w:r>
      <w:proofErr w:type="spellEnd"/>
      <w:r w:rsidRPr="0041528A">
        <w:rPr>
          <w:rFonts w:ascii="Times New Roman" w:eastAsia="Times New Roman" w:hAnsi="Times New Roman" w:cs="Times New Roman"/>
          <w:b w:val="0"/>
          <w:color w:val="auto"/>
          <w:sz w:val="24"/>
          <w:szCs w:val="24"/>
        </w:rPr>
        <w:t>: Served as the primary development environment, enabling real-time collaboration and access to cloud computing for processing the dataset.</w:t>
      </w:r>
    </w:p>
    <w:p w:rsidR="0041528A" w:rsidRPr="0041528A" w:rsidRDefault="0041528A" w:rsidP="0041528A">
      <w:pPr>
        <w:numPr>
          <w:ilvl w:val="0"/>
          <w:numId w:val="16"/>
        </w:numPr>
        <w:spacing w:before="100" w:beforeAutospacing="1" w:after="100" w:afterAutospacing="1" w:line="240" w:lineRule="auto"/>
        <w:outlineLvl w:val="2"/>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lastRenderedPageBreak/>
        <w:t>Power BI</w:t>
      </w:r>
      <w:r w:rsidRPr="0041528A">
        <w:rPr>
          <w:rFonts w:ascii="Times New Roman" w:eastAsia="Times New Roman" w:hAnsi="Times New Roman" w:cs="Times New Roman"/>
          <w:b w:val="0"/>
          <w:color w:val="auto"/>
          <w:sz w:val="24"/>
          <w:szCs w:val="24"/>
        </w:rPr>
        <w:t>: Used to design and build the interactive dashboard, providing stakeholders with accessible visual storytelling and insight navigation.</w:t>
      </w:r>
    </w:p>
    <w:p w:rsidR="002F1E96" w:rsidRPr="002F1E96" w:rsidRDefault="002F1E96" w:rsidP="002F1E96">
      <w:pPr>
        <w:spacing w:before="100" w:beforeAutospacing="1" w:after="100" w:afterAutospacing="1" w:line="240" w:lineRule="auto"/>
        <w:outlineLvl w:val="2"/>
        <w:rPr>
          <w:rFonts w:ascii="Times New Roman" w:eastAsia="Times New Roman" w:hAnsi="Times New Roman" w:cs="Times New Roman"/>
          <w:bCs/>
          <w:color w:val="auto"/>
          <w:sz w:val="27"/>
          <w:szCs w:val="27"/>
        </w:rPr>
      </w:pPr>
      <w:r w:rsidRPr="002F1E96">
        <w:rPr>
          <w:rFonts w:ascii="Times New Roman" w:eastAsia="Times New Roman" w:hAnsi="Times New Roman" w:cs="Times New Roman"/>
          <w:bCs/>
          <w:color w:val="auto"/>
          <w:sz w:val="27"/>
          <w:szCs w:val="27"/>
        </w:rPr>
        <w:t>Analytical Techniques</w:t>
      </w:r>
    </w:p>
    <w:p w:rsidR="002F1E96" w:rsidRPr="002F1E96" w:rsidRDefault="002F1E96" w:rsidP="002F1E96">
      <w:pPr>
        <w:spacing w:before="100" w:beforeAutospacing="1" w:after="100" w:afterAutospacing="1" w:line="240" w:lineRule="auto"/>
        <w:rPr>
          <w:rFonts w:ascii="Times New Roman" w:eastAsia="Times New Roman" w:hAnsi="Times New Roman" w:cs="Times New Roman"/>
          <w:b w:val="0"/>
          <w:color w:val="auto"/>
          <w:sz w:val="24"/>
          <w:szCs w:val="24"/>
        </w:rPr>
      </w:pPr>
      <w:r w:rsidRPr="002F1E96">
        <w:rPr>
          <w:rFonts w:ascii="Times New Roman" w:eastAsia="Times New Roman" w:hAnsi="Times New Roman" w:cs="Times New Roman"/>
          <w:b w:val="0"/>
          <w:color w:val="auto"/>
          <w:sz w:val="24"/>
          <w:szCs w:val="24"/>
        </w:rPr>
        <w:t>A range of techniques were applied to derive insights and develop models:</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Data Cleaning &amp; Preparation</w:t>
      </w:r>
      <w:r w:rsidRPr="0041528A">
        <w:rPr>
          <w:rFonts w:ascii="Times New Roman" w:eastAsia="Times New Roman" w:hAnsi="Times New Roman" w:cs="Times New Roman"/>
          <w:b w:val="0"/>
          <w:color w:val="auto"/>
          <w:sz w:val="24"/>
          <w:szCs w:val="24"/>
        </w:rPr>
        <w:br/>
        <w:t>The raw import and tariff data were cleaned to address missing values, inconsistent formatting, and outliers. Tax components were recalculated for accuracy, and dates were normalized and resampled for monthly aggregation.</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Forecasting</w:t>
      </w:r>
      <w:r w:rsidRPr="0041528A">
        <w:rPr>
          <w:rFonts w:ascii="Times New Roman" w:eastAsia="Times New Roman" w:hAnsi="Times New Roman" w:cs="Times New Roman"/>
          <w:b w:val="0"/>
          <w:color w:val="auto"/>
          <w:sz w:val="24"/>
          <w:szCs w:val="24"/>
        </w:rPr>
        <w:br/>
        <w:t>The Prophet time-series model was used to forecast import values and tax revenues over a 5-year horizon. Forecasts captured seasonality and trends based on 2023 data, providing a forward-looking view under current conditions.</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Anomaly Detection</w:t>
      </w:r>
      <w:r w:rsidRPr="0041528A">
        <w:rPr>
          <w:rFonts w:ascii="Times New Roman" w:eastAsia="Times New Roman" w:hAnsi="Times New Roman" w:cs="Times New Roman"/>
          <w:b w:val="0"/>
          <w:color w:val="auto"/>
          <w:sz w:val="24"/>
          <w:szCs w:val="24"/>
        </w:rPr>
        <w:br/>
        <w:t>Expected tax values were calculated using benchmark tariff rates from the CET schedule and compared to reported taxes. Z-score analysis and Isolation Forest modeling were used to flag anomalies, potentially indicating under-reporting or inefficiencies.</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Growth Analysis</w:t>
      </w:r>
      <w:r w:rsidRPr="0041528A">
        <w:rPr>
          <w:rFonts w:ascii="Times New Roman" w:eastAsia="Times New Roman" w:hAnsi="Times New Roman" w:cs="Times New Roman"/>
          <w:b w:val="0"/>
          <w:color w:val="auto"/>
          <w:sz w:val="24"/>
          <w:szCs w:val="24"/>
        </w:rPr>
        <w:br/>
        <w:t>Monthly import values were grouped by HS code, and linear regression was used to estimate growth rates. This highlighted fast-growing import categories warranting attention for regulation or support.</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Policy Scenario Modeling</w:t>
      </w:r>
      <w:r w:rsidRPr="0041528A">
        <w:rPr>
          <w:rFonts w:ascii="Times New Roman" w:eastAsia="Times New Roman" w:hAnsi="Times New Roman" w:cs="Times New Roman"/>
          <w:b w:val="0"/>
          <w:color w:val="auto"/>
          <w:sz w:val="24"/>
          <w:szCs w:val="24"/>
        </w:rPr>
        <w:br/>
        <w:t>Simulations modeled the fiscal and industrial impact of substituting 20–30% of key imports with local production. This helped quantify potential savings and industrial development benefits.</w:t>
      </w:r>
    </w:p>
    <w:p w:rsidR="0041528A" w:rsidRPr="0041528A" w:rsidRDefault="0041528A" w:rsidP="0041528A">
      <w:pPr>
        <w:numPr>
          <w:ilvl w:val="0"/>
          <w:numId w:val="17"/>
        </w:numPr>
        <w:spacing w:before="100" w:beforeAutospacing="1" w:after="100" w:afterAutospacing="1" w:line="240" w:lineRule="auto"/>
        <w:rPr>
          <w:rFonts w:ascii="Times New Roman" w:eastAsia="Times New Roman" w:hAnsi="Times New Roman" w:cs="Times New Roman"/>
          <w:b w:val="0"/>
          <w:color w:val="auto"/>
          <w:sz w:val="24"/>
          <w:szCs w:val="24"/>
        </w:rPr>
      </w:pPr>
      <w:r w:rsidRPr="0041528A">
        <w:rPr>
          <w:rFonts w:ascii="Times New Roman" w:eastAsia="Times New Roman" w:hAnsi="Times New Roman" w:cs="Times New Roman"/>
          <w:bCs/>
          <w:color w:val="auto"/>
          <w:sz w:val="24"/>
          <w:szCs w:val="24"/>
        </w:rPr>
        <w:t>Innovation Fund Allocation Modeling</w:t>
      </w:r>
      <w:r w:rsidRPr="0041528A">
        <w:rPr>
          <w:rFonts w:ascii="Times New Roman" w:eastAsia="Times New Roman" w:hAnsi="Times New Roman" w:cs="Times New Roman"/>
          <w:b w:val="0"/>
          <w:color w:val="auto"/>
          <w:sz w:val="24"/>
          <w:szCs w:val="24"/>
        </w:rPr>
        <w:br/>
        <w:t>A scoring framework ranked HS codes based on import value, growth rate, and substitution feasibility. This informed a rational and targeted strategy for directing limited innovation funding to high-impact areas.</w:t>
      </w:r>
    </w:p>
    <w:p w:rsidR="002F1E96" w:rsidRDefault="002F1E96"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Default="0041528A" w:rsidP="002F1E96"/>
    <w:p w:rsidR="0041528A" w:rsidRPr="0041528A" w:rsidRDefault="0041528A" w:rsidP="0041528A">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KEY FINDINGS</w:t>
      </w:r>
    </w:p>
    <w:p w:rsidR="0041528A" w:rsidRPr="005D566D" w:rsidRDefault="0041528A" w:rsidP="0041528A">
      <w:pPr>
        <w:spacing w:after="160" w:line="240" w:lineRule="auto"/>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Import Trends and Forecast</w:t>
      </w:r>
      <w:r w:rsidR="005D566D">
        <w:rPr>
          <w:rFonts w:ascii="Times New Roman" w:eastAsia="Aptos" w:hAnsi="Times New Roman" w:cs="Times New Roman"/>
          <w:bCs/>
          <w:color w:val="auto"/>
          <w:kern w:val="2"/>
          <w:sz w:val="24"/>
          <w:szCs w:val="24"/>
          <w14:ligatures w14:val="standardContextual"/>
        </w:rPr>
        <w:t xml:space="preserve">: </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1. Import Concentration and High-Value Categories</w:t>
      </w:r>
      <w:r w:rsidRPr="005D566D">
        <w:rPr>
          <w:rFonts w:ascii="Times New Roman" w:eastAsia="Aptos" w:hAnsi="Times New Roman" w:cs="Times New Roman"/>
          <w:b w:val="0"/>
          <w:color w:val="auto"/>
          <w:kern w:val="2"/>
          <w:sz w:val="24"/>
          <w:szCs w:val="24"/>
          <w14:ligatures w14:val="standardContextual"/>
        </w:rPr>
        <w:br/>
        <w:t>Nigeria’s import portfolio under HS Code 85 is significantly concentrated in a few product categories:</w:t>
      </w:r>
    </w:p>
    <w:p w:rsidR="005D566D" w:rsidRPr="005D566D" w:rsidRDefault="005D566D" w:rsidP="005D566D">
      <w:pPr>
        <w:numPr>
          <w:ilvl w:val="0"/>
          <w:numId w:val="18"/>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The </w:t>
      </w:r>
      <w:r w:rsidRPr="005D566D">
        <w:rPr>
          <w:rFonts w:ascii="Times New Roman" w:eastAsia="Aptos" w:hAnsi="Times New Roman" w:cs="Times New Roman"/>
          <w:bCs/>
          <w:color w:val="auto"/>
          <w:kern w:val="2"/>
          <w:sz w:val="24"/>
          <w:szCs w:val="24"/>
          <w14:ligatures w14:val="standardContextual"/>
        </w:rPr>
        <w:t>top 5 HS codes</w:t>
      </w:r>
      <w:r w:rsidRPr="005D566D">
        <w:rPr>
          <w:rFonts w:ascii="Times New Roman" w:eastAsia="Aptos" w:hAnsi="Times New Roman" w:cs="Times New Roman"/>
          <w:b w:val="0"/>
          <w:color w:val="auto"/>
          <w:kern w:val="2"/>
          <w:sz w:val="24"/>
          <w:szCs w:val="24"/>
          <w14:ligatures w14:val="standardContextual"/>
        </w:rPr>
        <w:t xml:space="preserve"> account for nearly </w:t>
      </w:r>
      <w:r w:rsidRPr="005D566D">
        <w:rPr>
          <w:rFonts w:ascii="Times New Roman" w:eastAsia="Aptos" w:hAnsi="Times New Roman" w:cs="Times New Roman"/>
          <w:bCs/>
          <w:color w:val="auto"/>
          <w:kern w:val="2"/>
          <w:sz w:val="24"/>
          <w:szCs w:val="24"/>
          <w14:ligatures w14:val="standardContextual"/>
        </w:rPr>
        <w:t>30%</w:t>
      </w:r>
      <w:r w:rsidRPr="005D566D">
        <w:rPr>
          <w:rFonts w:ascii="Times New Roman" w:eastAsia="Aptos" w:hAnsi="Times New Roman" w:cs="Times New Roman"/>
          <w:b w:val="0"/>
          <w:color w:val="auto"/>
          <w:kern w:val="2"/>
          <w:sz w:val="24"/>
          <w:szCs w:val="24"/>
          <w14:ligatures w14:val="standardContextual"/>
        </w:rPr>
        <w:t xml:space="preserve"> of the total CIF value.</w:t>
      </w:r>
    </w:p>
    <w:p w:rsidR="005D566D" w:rsidRPr="005D566D" w:rsidRDefault="005D566D" w:rsidP="005D566D">
      <w:pPr>
        <w:numPr>
          <w:ilvl w:val="0"/>
          <w:numId w:val="18"/>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Telephones for Cellular Networks (HS Code 8517120000)</w:t>
      </w:r>
      <w:r w:rsidRPr="005D566D">
        <w:rPr>
          <w:rFonts w:ascii="Times New Roman" w:eastAsia="Aptos" w:hAnsi="Times New Roman" w:cs="Times New Roman"/>
          <w:b w:val="0"/>
          <w:color w:val="auto"/>
          <w:kern w:val="2"/>
          <w:sz w:val="24"/>
          <w:szCs w:val="24"/>
          <w14:ligatures w14:val="standardContextual"/>
        </w:rPr>
        <w:t xml:space="preserve"> are the most frequently imported item.</w:t>
      </w:r>
    </w:p>
    <w:p w:rsidR="005D566D" w:rsidRPr="005D566D" w:rsidRDefault="005D566D" w:rsidP="005D566D">
      <w:pPr>
        <w:numPr>
          <w:ilvl w:val="0"/>
          <w:numId w:val="18"/>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Machines for Data Transmission (HS Code 8517620000)</w:t>
      </w:r>
      <w:r w:rsidRPr="005D566D">
        <w:rPr>
          <w:rFonts w:ascii="Times New Roman" w:eastAsia="Aptos" w:hAnsi="Times New Roman" w:cs="Times New Roman"/>
          <w:b w:val="0"/>
          <w:color w:val="auto"/>
          <w:kern w:val="2"/>
          <w:sz w:val="24"/>
          <w:szCs w:val="24"/>
          <w14:ligatures w14:val="standardContextual"/>
        </w:rPr>
        <w:t xml:space="preserve"> represent the highest import value at </w:t>
      </w:r>
      <w:r w:rsidRPr="005D566D">
        <w:rPr>
          <w:rFonts w:ascii="Times New Roman" w:eastAsia="Aptos" w:hAnsi="Times New Roman" w:cs="Times New Roman"/>
          <w:bCs/>
          <w:color w:val="auto"/>
          <w:kern w:val="2"/>
          <w:sz w:val="24"/>
          <w:szCs w:val="24"/>
          <w14:ligatures w14:val="standardContextual"/>
        </w:rPr>
        <w:t>₦102.28 billion</w:t>
      </w:r>
      <w:r w:rsidRPr="005D566D">
        <w:rPr>
          <w:rFonts w:ascii="Times New Roman" w:eastAsia="Aptos" w:hAnsi="Times New Roman" w:cs="Times New Roman"/>
          <w:b w:val="0"/>
          <w:color w:val="auto"/>
          <w:kern w:val="2"/>
          <w:sz w:val="24"/>
          <w:szCs w:val="24"/>
          <w14:ligatures w14:val="standardContextual"/>
        </w:rPr>
        <w:t xml:space="preserve">, contributing </w:t>
      </w:r>
      <w:r w:rsidRPr="005D566D">
        <w:rPr>
          <w:rFonts w:ascii="Times New Roman" w:eastAsia="Aptos" w:hAnsi="Times New Roman" w:cs="Times New Roman"/>
          <w:bCs/>
          <w:color w:val="auto"/>
          <w:kern w:val="2"/>
          <w:sz w:val="24"/>
          <w:szCs w:val="24"/>
          <w14:ligatures w14:val="standardContextual"/>
        </w:rPr>
        <w:t>13.05%</w:t>
      </w:r>
      <w:r w:rsidRPr="005D566D">
        <w:rPr>
          <w:rFonts w:ascii="Times New Roman" w:eastAsia="Aptos" w:hAnsi="Times New Roman" w:cs="Times New Roman"/>
          <w:b w:val="0"/>
          <w:color w:val="auto"/>
          <w:kern w:val="2"/>
          <w:sz w:val="24"/>
          <w:szCs w:val="24"/>
          <w14:ligatures w14:val="standardContextual"/>
        </w:rPr>
        <w:t xml:space="preserve"> of the total CIF value.</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2. Country Dependence and Supply Chain Risk</w:t>
      </w:r>
    </w:p>
    <w:p w:rsidR="005D566D" w:rsidRPr="005D566D" w:rsidRDefault="005D566D" w:rsidP="005D566D">
      <w:pPr>
        <w:numPr>
          <w:ilvl w:val="0"/>
          <w:numId w:val="19"/>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Over </w:t>
      </w:r>
      <w:r w:rsidRPr="005D566D">
        <w:rPr>
          <w:rFonts w:ascii="Times New Roman" w:eastAsia="Aptos" w:hAnsi="Times New Roman" w:cs="Times New Roman"/>
          <w:bCs/>
          <w:color w:val="auto"/>
          <w:kern w:val="2"/>
          <w:sz w:val="24"/>
          <w:szCs w:val="24"/>
          <w14:ligatures w14:val="standardContextual"/>
        </w:rPr>
        <w:t>54%</w:t>
      </w:r>
      <w:r w:rsidRPr="005D566D">
        <w:rPr>
          <w:rFonts w:ascii="Times New Roman" w:eastAsia="Aptos" w:hAnsi="Times New Roman" w:cs="Times New Roman"/>
          <w:b w:val="0"/>
          <w:color w:val="auto"/>
          <w:kern w:val="2"/>
          <w:sz w:val="24"/>
          <w:szCs w:val="24"/>
          <w14:ligatures w14:val="standardContextual"/>
        </w:rPr>
        <w:t xml:space="preserve"> of Nigeria’s electrical imports (by CIF value) originate from </w:t>
      </w:r>
      <w:r w:rsidRPr="005D566D">
        <w:rPr>
          <w:rFonts w:ascii="Times New Roman" w:eastAsia="Aptos" w:hAnsi="Times New Roman" w:cs="Times New Roman"/>
          <w:bCs/>
          <w:color w:val="auto"/>
          <w:kern w:val="2"/>
          <w:sz w:val="24"/>
          <w:szCs w:val="24"/>
          <w14:ligatures w14:val="standardContextual"/>
        </w:rPr>
        <w:t>China</w:t>
      </w:r>
      <w:r w:rsidRPr="005D566D">
        <w:rPr>
          <w:rFonts w:ascii="Times New Roman" w:eastAsia="Aptos" w:hAnsi="Times New Roman" w:cs="Times New Roman"/>
          <w:b w:val="0"/>
          <w:color w:val="auto"/>
          <w:kern w:val="2"/>
          <w:sz w:val="24"/>
          <w:szCs w:val="24"/>
          <w14:ligatures w14:val="standardContextual"/>
        </w:rPr>
        <w:t xml:space="preserve">, with </w:t>
      </w:r>
      <w:r w:rsidRPr="005D566D">
        <w:rPr>
          <w:rFonts w:ascii="Times New Roman" w:eastAsia="Aptos" w:hAnsi="Times New Roman" w:cs="Times New Roman"/>
          <w:bCs/>
          <w:color w:val="auto"/>
          <w:kern w:val="2"/>
          <w:sz w:val="24"/>
          <w:szCs w:val="24"/>
          <w14:ligatures w14:val="standardContextual"/>
        </w:rPr>
        <w:t>India (8.94%)</w:t>
      </w:r>
      <w:r w:rsidRPr="005D566D">
        <w:rPr>
          <w:rFonts w:ascii="Times New Roman" w:eastAsia="Aptos" w:hAnsi="Times New Roman" w:cs="Times New Roman"/>
          <w:b w:val="0"/>
          <w:color w:val="auto"/>
          <w:kern w:val="2"/>
          <w:sz w:val="24"/>
          <w:szCs w:val="24"/>
          <w14:ligatures w14:val="standardContextual"/>
        </w:rPr>
        <w:t xml:space="preserve"> and the </w:t>
      </w:r>
      <w:r w:rsidRPr="005D566D">
        <w:rPr>
          <w:rFonts w:ascii="Times New Roman" w:eastAsia="Aptos" w:hAnsi="Times New Roman" w:cs="Times New Roman"/>
          <w:bCs/>
          <w:color w:val="auto"/>
          <w:kern w:val="2"/>
          <w:sz w:val="24"/>
          <w:szCs w:val="24"/>
          <w14:ligatures w14:val="standardContextual"/>
        </w:rPr>
        <w:t>United Kingdom (6.05%)</w:t>
      </w:r>
      <w:r w:rsidRPr="005D566D">
        <w:rPr>
          <w:rFonts w:ascii="Times New Roman" w:eastAsia="Aptos" w:hAnsi="Times New Roman" w:cs="Times New Roman"/>
          <w:b w:val="0"/>
          <w:color w:val="auto"/>
          <w:kern w:val="2"/>
          <w:sz w:val="24"/>
          <w:szCs w:val="24"/>
          <w14:ligatures w14:val="standardContextual"/>
        </w:rPr>
        <w:t xml:space="preserve"> trailing behind.</w:t>
      </w:r>
    </w:p>
    <w:p w:rsidR="005D566D" w:rsidRPr="005D566D" w:rsidRDefault="005D566D" w:rsidP="005D566D">
      <w:pPr>
        <w:numPr>
          <w:ilvl w:val="0"/>
          <w:numId w:val="19"/>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China also dominates the </w:t>
      </w:r>
      <w:r w:rsidRPr="005D566D">
        <w:rPr>
          <w:rFonts w:ascii="Times New Roman" w:eastAsia="Aptos" w:hAnsi="Times New Roman" w:cs="Times New Roman"/>
          <w:bCs/>
          <w:color w:val="auto"/>
          <w:kern w:val="2"/>
          <w:sz w:val="24"/>
          <w:szCs w:val="24"/>
          <w14:ligatures w14:val="standardContextual"/>
        </w:rPr>
        <w:t>supply chain</w:t>
      </w:r>
      <w:r w:rsidRPr="005D566D">
        <w:rPr>
          <w:rFonts w:ascii="Times New Roman" w:eastAsia="Aptos" w:hAnsi="Times New Roman" w:cs="Times New Roman"/>
          <w:b w:val="0"/>
          <w:color w:val="auto"/>
          <w:kern w:val="2"/>
          <w:sz w:val="24"/>
          <w:szCs w:val="24"/>
          <w14:ligatures w14:val="standardContextual"/>
        </w:rPr>
        <w:t xml:space="preserve">, accounting for </w:t>
      </w:r>
      <w:r w:rsidRPr="005D566D">
        <w:rPr>
          <w:rFonts w:ascii="Times New Roman" w:eastAsia="Aptos" w:hAnsi="Times New Roman" w:cs="Times New Roman"/>
          <w:bCs/>
          <w:color w:val="auto"/>
          <w:kern w:val="2"/>
          <w:sz w:val="24"/>
          <w:szCs w:val="24"/>
          <w14:ligatures w14:val="standardContextual"/>
        </w:rPr>
        <w:t>₦66.48 billion (65.01%)</w:t>
      </w:r>
      <w:r w:rsidRPr="005D566D">
        <w:rPr>
          <w:rFonts w:ascii="Times New Roman" w:eastAsia="Aptos" w:hAnsi="Times New Roman" w:cs="Times New Roman"/>
          <w:b w:val="0"/>
          <w:color w:val="auto"/>
          <w:kern w:val="2"/>
          <w:sz w:val="24"/>
          <w:szCs w:val="24"/>
          <w14:ligatures w14:val="standardContextual"/>
        </w:rPr>
        <w:t xml:space="preserve"> of imports under HS Code 8517620000.</w:t>
      </w:r>
    </w:p>
    <w:p w:rsidR="005D566D" w:rsidRPr="005D566D" w:rsidRDefault="005D566D" w:rsidP="005D566D">
      <w:pPr>
        <w:numPr>
          <w:ilvl w:val="0"/>
          <w:numId w:val="19"/>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This dual dependency poses a </w:t>
      </w:r>
      <w:r w:rsidRPr="005D566D">
        <w:rPr>
          <w:rFonts w:ascii="Times New Roman" w:eastAsia="Aptos" w:hAnsi="Times New Roman" w:cs="Times New Roman"/>
          <w:bCs/>
          <w:color w:val="auto"/>
          <w:kern w:val="2"/>
          <w:sz w:val="24"/>
          <w:szCs w:val="24"/>
          <w14:ligatures w14:val="standardContextual"/>
        </w:rPr>
        <w:t>strategic supply chain risk</w:t>
      </w:r>
      <w:r w:rsidRPr="005D566D">
        <w:rPr>
          <w:rFonts w:ascii="Times New Roman" w:eastAsia="Aptos" w:hAnsi="Times New Roman" w:cs="Times New Roman"/>
          <w:b w:val="0"/>
          <w:color w:val="auto"/>
          <w:kern w:val="2"/>
          <w:sz w:val="24"/>
          <w:szCs w:val="24"/>
          <w14:ligatures w14:val="standardContextual"/>
        </w:rPr>
        <w:t>, especially in light of global geopolitical and economic uncertainties that could disrupt trade flows or inflate costs.</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3. Seasonal Import Patterns</w:t>
      </w:r>
    </w:p>
    <w:p w:rsidR="005D566D" w:rsidRPr="005D566D" w:rsidRDefault="005D566D" w:rsidP="005D566D">
      <w:pPr>
        <w:numPr>
          <w:ilvl w:val="0"/>
          <w:numId w:val="20"/>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CIF import values peaked in </w:t>
      </w:r>
      <w:r w:rsidRPr="005D566D">
        <w:rPr>
          <w:rFonts w:ascii="Times New Roman" w:eastAsia="Aptos" w:hAnsi="Times New Roman" w:cs="Times New Roman"/>
          <w:bCs/>
          <w:color w:val="auto"/>
          <w:kern w:val="2"/>
          <w:sz w:val="24"/>
          <w:szCs w:val="24"/>
          <w14:ligatures w14:val="standardContextual"/>
        </w:rPr>
        <w:t>January</w:t>
      </w:r>
      <w:r w:rsidRPr="005D566D">
        <w:rPr>
          <w:rFonts w:ascii="Times New Roman" w:eastAsia="Aptos" w:hAnsi="Times New Roman" w:cs="Times New Roman"/>
          <w:b w:val="0"/>
          <w:color w:val="auto"/>
          <w:kern w:val="2"/>
          <w:sz w:val="24"/>
          <w:szCs w:val="24"/>
          <w14:ligatures w14:val="standardContextual"/>
        </w:rPr>
        <w:t xml:space="preserve">, followed by a </w:t>
      </w:r>
      <w:r w:rsidRPr="005D566D">
        <w:rPr>
          <w:rFonts w:ascii="Times New Roman" w:eastAsia="Aptos" w:hAnsi="Times New Roman" w:cs="Times New Roman"/>
          <w:bCs/>
          <w:color w:val="auto"/>
          <w:kern w:val="2"/>
          <w:sz w:val="24"/>
          <w:szCs w:val="24"/>
          <w14:ligatures w14:val="standardContextual"/>
        </w:rPr>
        <w:t>notable dip in February</w:t>
      </w:r>
      <w:r w:rsidRPr="005D566D">
        <w:rPr>
          <w:rFonts w:ascii="Times New Roman" w:eastAsia="Aptos" w:hAnsi="Times New Roman" w:cs="Times New Roman"/>
          <w:b w:val="0"/>
          <w:color w:val="auto"/>
          <w:kern w:val="2"/>
          <w:sz w:val="24"/>
          <w:szCs w:val="24"/>
          <w14:ligatures w14:val="standardContextual"/>
        </w:rPr>
        <w:t>, indicating possible seasonal procurement cycles.</w:t>
      </w:r>
    </w:p>
    <w:p w:rsidR="005D566D" w:rsidRPr="005D566D" w:rsidRDefault="005D566D" w:rsidP="005D566D">
      <w:pPr>
        <w:numPr>
          <w:ilvl w:val="0"/>
          <w:numId w:val="20"/>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Moderate fluctuations occurred across subsequent months, with dips observed in </w:t>
      </w:r>
      <w:r w:rsidRPr="005D566D">
        <w:rPr>
          <w:rFonts w:ascii="Times New Roman" w:eastAsia="Aptos" w:hAnsi="Times New Roman" w:cs="Times New Roman"/>
          <w:bCs/>
          <w:color w:val="auto"/>
          <w:kern w:val="2"/>
          <w:sz w:val="24"/>
          <w:szCs w:val="24"/>
          <w14:ligatures w14:val="standardContextual"/>
        </w:rPr>
        <w:t>May</w:t>
      </w:r>
      <w:r w:rsidRPr="005D566D">
        <w:rPr>
          <w:rFonts w:ascii="Times New Roman" w:eastAsia="Aptos" w:hAnsi="Times New Roman" w:cs="Times New Roman"/>
          <w:b w:val="0"/>
          <w:color w:val="auto"/>
          <w:kern w:val="2"/>
          <w:sz w:val="24"/>
          <w:szCs w:val="24"/>
          <w14:ligatures w14:val="standardContextual"/>
        </w:rPr>
        <w:t xml:space="preserve"> and </w:t>
      </w:r>
      <w:r w:rsidRPr="005D566D">
        <w:rPr>
          <w:rFonts w:ascii="Times New Roman" w:eastAsia="Aptos" w:hAnsi="Times New Roman" w:cs="Times New Roman"/>
          <w:bCs/>
          <w:color w:val="auto"/>
          <w:kern w:val="2"/>
          <w:sz w:val="24"/>
          <w:szCs w:val="24"/>
          <w14:ligatures w14:val="standardContextual"/>
        </w:rPr>
        <w:t>November</w:t>
      </w:r>
      <w:r w:rsidRPr="005D566D">
        <w:rPr>
          <w:rFonts w:ascii="Times New Roman" w:eastAsia="Aptos" w:hAnsi="Times New Roman" w:cs="Times New Roman"/>
          <w:b w:val="0"/>
          <w:color w:val="auto"/>
          <w:kern w:val="2"/>
          <w:sz w:val="24"/>
          <w:szCs w:val="24"/>
          <w14:ligatures w14:val="standardContextual"/>
        </w:rPr>
        <w:t>.</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4. Import Value Forecast</w:t>
      </w:r>
    </w:p>
    <w:p w:rsidR="005D566D" w:rsidRPr="005D566D" w:rsidRDefault="005D566D" w:rsidP="005D566D">
      <w:pPr>
        <w:numPr>
          <w:ilvl w:val="0"/>
          <w:numId w:val="21"/>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Forecasting results project a steady increase in import volumes, with CIF values rising from </w:t>
      </w:r>
      <w:r w:rsidRPr="005D566D">
        <w:rPr>
          <w:rFonts w:ascii="Times New Roman" w:eastAsia="Aptos" w:hAnsi="Times New Roman" w:cs="Times New Roman"/>
          <w:bCs/>
          <w:color w:val="auto"/>
          <w:kern w:val="2"/>
          <w:sz w:val="24"/>
          <w:szCs w:val="24"/>
          <w14:ligatures w14:val="standardContextual"/>
        </w:rPr>
        <w:t>₦783 billion in 2019</w:t>
      </w:r>
      <w:r w:rsidRPr="005D566D">
        <w:rPr>
          <w:rFonts w:ascii="Times New Roman" w:eastAsia="Aptos" w:hAnsi="Times New Roman" w:cs="Times New Roman"/>
          <w:b w:val="0"/>
          <w:color w:val="auto"/>
          <w:kern w:val="2"/>
          <w:sz w:val="24"/>
          <w:szCs w:val="24"/>
          <w14:ligatures w14:val="standardContextual"/>
        </w:rPr>
        <w:t xml:space="preserve"> to </w:t>
      </w:r>
      <w:r w:rsidRPr="005D566D">
        <w:rPr>
          <w:rFonts w:ascii="Times New Roman" w:eastAsia="Aptos" w:hAnsi="Times New Roman" w:cs="Times New Roman"/>
          <w:bCs/>
          <w:color w:val="auto"/>
          <w:kern w:val="2"/>
          <w:sz w:val="24"/>
          <w:szCs w:val="24"/>
          <w14:ligatures w14:val="standardContextual"/>
        </w:rPr>
        <w:t>₦844 billion by 2024</w:t>
      </w:r>
      <w:r w:rsidRPr="005D566D">
        <w:rPr>
          <w:rFonts w:ascii="Times New Roman" w:eastAsia="Aptos" w:hAnsi="Times New Roman" w:cs="Times New Roman"/>
          <w:b w:val="0"/>
          <w:color w:val="auto"/>
          <w:kern w:val="2"/>
          <w:sz w:val="24"/>
          <w:szCs w:val="24"/>
          <w14:ligatures w14:val="standardContextual"/>
        </w:rPr>
        <w:t>, reinforcing Nigeria’s continued reliance on foreign electrical goods.</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5. Country-Specific Forecast</w:t>
      </w:r>
    </w:p>
    <w:p w:rsidR="005D566D" w:rsidRPr="005D566D" w:rsidRDefault="005D566D" w:rsidP="005D566D">
      <w:pPr>
        <w:numPr>
          <w:ilvl w:val="0"/>
          <w:numId w:val="22"/>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Interestingly, projected imports from </w:t>
      </w:r>
      <w:r w:rsidRPr="005D566D">
        <w:rPr>
          <w:rFonts w:ascii="Times New Roman" w:eastAsia="Aptos" w:hAnsi="Times New Roman" w:cs="Times New Roman"/>
          <w:bCs/>
          <w:color w:val="auto"/>
          <w:kern w:val="2"/>
          <w:sz w:val="24"/>
          <w:szCs w:val="24"/>
          <w14:ligatures w14:val="standardContextual"/>
        </w:rPr>
        <w:t>China</w:t>
      </w:r>
      <w:r w:rsidRPr="005D566D">
        <w:rPr>
          <w:rFonts w:ascii="Times New Roman" w:eastAsia="Aptos" w:hAnsi="Times New Roman" w:cs="Times New Roman"/>
          <w:b w:val="0"/>
          <w:color w:val="auto"/>
          <w:kern w:val="2"/>
          <w:sz w:val="24"/>
          <w:szCs w:val="24"/>
          <w14:ligatures w14:val="standardContextual"/>
        </w:rPr>
        <w:t xml:space="preserve"> are expected to fall drastically from </w:t>
      </w:r>
      <w:r w:rsidRPr="005D566D">
        <w:rPr>
          <w:rFonts w:ascii="Times New Roman" w:eastAsia="Aptos" w:hAnsi="Times New Roman" w:cs="Times New Roman"/>
          <w:bCs/>
          <w:color w:val="auto"/>
          <w:kern w:val="2"/>
          <w:sz w:val="24"/>
          <w:szCs w:val="24"/>
          <w14:ligatures w14:val="standardContextual"/>
        </w:rPr>
        <w:t>₦420 billion to ₦7 billion by 2024</w:t>
      </w:r>
      <w:r w:rsidRPr="005D566D">
        <w:rPr>
          <w:rFonts w:ascii="Times New Roman" w:eastAsia="Aptos" w:hAnsi="Times New Roman" w:cs="Times New Roman"/>
          <w:b w:val="0"/>
          <w:color w:val="auto"/>
          <w:kern w:val="2"/>
          <w:sz w:val="24"/>
          <w:szCs w:val="24"/>
          <w14:ligatures w14:val="standardContextual"/>
        </w:rPr>
        <w:t>. While this suggests an opportunity for diversification, it may also point to over</w:t>
      </w:r>
      <w:r>
        <w:rPr>
          <w:rFonts w:ascii="Times New Roman" w:eastAsia="Aptos" w:hAnsi="Times New Roman" w:cs="Times New Roman"/>
          <w:b w:val="0"/>
          <w:color w:val="auto"/>
          <w:kern w:val="2"/>
          <w:sz w:val="24"/>
          <w:szCs w:val="24"/>
          <w14:ligatures w14:val="standardContextual"/>
        </w:rPr>
        <w:t xml:space="preserve"> </w:t>
      </w:r>
      <w:r w:rsidRPr="005D566D">
        <w:rPr>
          <w:rFonts w:ascii="Times New Roman" w:eastAsia="Aptos" w:hAnsi="Times New Roman" w:cs="Times New Roman"/>
          <w:b w:val="0"/>
          <w:color w:val="auto"/>
          <w:kern w:val="2"/>
          <w:sz w:val="24"/>
          <w:szCs w:val="24"/>
          <w14:ligatures w14:val="standardContextual"/>
        </w:rPr>
        <w:t>optimistic assumptions or potential changes in reporting</w:t>
      </w:r>
      <w:r>
        <w:rPr>
          <w:rFonts w:ascii="Times New Roman" w:eastAsia="Aptos" w:hAnsi="Times New Roman" w:cs="Times New Roman"/>
          <w:b w:val="0"/>
          <w:color w:val="auto"/>
          <w:kern w:val="2"/>
          <w:sz w:val="24"/>
          <w:szCs w:val="24"/>
          <w14:ligatures w14:val="standardContextual"/>
        </w:rPr>
        <w:t>/</w:t>
      </w:r>
      <w:r w:rsidRPr="005D566D">
        <w:rPr>
          <w:rFonts w:ascii="Times New Roman" w:eastAsia="Aptos" w:hAnsi="Times New Roman" w:cs="Times New Roman"/>
          <w:b w:val="0"/>
          <w:color w:val="auto"/>
          <w:kern w:val="2"/>
          <w:sz w:val="24"/>
          <w:szCs w:val="24"/>
          <w14:ligatures w14:val="standardContextual"/>
        </w:rPr>
        <w:t>sourcing.</w:t>
      </w:r>
    </w:p>
    <w:p w:rsidR="005D566D" w:rsidRPr="005D566D" w:rsidRDefault="005D566D" w:rsidP="005D566D">
      <w:pPr>
        <w:spacing w:after="160" w:line="240" w:lineRule="auto"/>
        <w:ind w:left="360"/>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Cs/>
          <w:color w:val="auto"/>
          <w:kern w:val="2"/>
          <w:sz w:val="24"/>
          <w:szCs w:val="24"/>
          <w14:ligatures w14:val="standardContextual"/>
        </w:rPr>
        <w:t>6. Scenario Modeling: Fiscal Impact of Import Reduction</w:t>
      </w:r>
    </w:p>
    <w:p w:rsidR="005D566D" w:rsidRPr="005D566D" w:rsidRDefault="005D566D" w:rsidP="005D566D">
      <w:pPr>
        <w:numPr>
          <w:ilvl w:val="0"/>
          <w:numId w:val="23"/>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A </w:t>
      </w:r>
      <w:r w:rsidRPr="005D566D">
        <w:rPr>
          <w:rFonts w:ascii="Times New Roman" w:eastAsia="Aptos" w:hAnsi="Times New Roman" w:cs="Times New Roman"/>
          <w:bCs/>
          <w:color w:val="auto"/>
          <w:kern w:val="2"/>
          <w:sz w:val="24"/>
          <w:szCs w:val="24"/>
          <w14:ligatures w14:val="standardContextual"/>
        </w:rPr>
        <w:t>12% drop</w:t>
      </w:r>
      <w:r w:rsidRPr="005D566D">
        <w:rPr>
          <w:rFonts w:ascii="Times New Roman" w:eastAsia="Aptos" w:hAnsi="Times New Roman" w:cs="Times New Roman"/>
          <w:b w:val="0"/>
          <w:color w:val="auto"/>
          <w:kern w:val="2"/>
          <w:sz w:val="24"/>
          <w:szCs w:val="24"/>
          <w14:ligatures w14:val="standardContextual"/>
        </w:rPr>
        <w:t xml:space="preserve"> in overall import volume between 2020 and 2024 is projected to result in a </w:t>
      </w:r>
      <w:r w:rsidRPr="005D566D">
        <w:rPr>
          <w:rFonts w:ascii="Times New Roman" w:eastAsia="Aptos" w:hAnsi="Times New Roman" w:cs="Times New Roman"/>
          <w:bCs/>
          <w:color w:val="auto"/>
          <w:kern w:val="2"/>
          <w:sz w:val="24"/>
          <w:szCs w:val="24"/>
          <w14:ligatures w14:val="standardContextual"/>
        </w:rPr>
        <w:t>₦449 billion</w:t>
      </w:r>
      <w:r w:rsidRPr="005D566D">
        <w:rPr>
          <w:rFonts w:ascii="Times New Roman" w:eastAsia="Aptos" w:hAnsi="Times New Roman" w:cs="Times New Roman"/>
          <w:b w:val="0"/>
          <w:color w:val="auto"/>
          <w:kern w:val="2"/>
          <w:sz w:val="24"/>
          <w:szCs w:val="24"/>
          <w14:ligatures w14:val="standardContextual"/>
        </w:rPr>
        <w:t xml:space="preserve"> revenue shortfall, assuming the current tax realization rate of </w:t>
      </w:r>
      <w:r w:rsidRPr="005D566D">
        <w:rPr>
          <w:rFonts w:ascii="Times New Roman" w:eastAsia="Aptos" w:hAnsi="Times New Roman" w:cs="Times New Roman"/>
          <w:bCs/>
          <w:color w:val="auto"/>
          <w:kern w:val="2"/>
          <w:sz w:val="24"/>
          <w:szCs w:val="24"/>
          <w14:ligatures w14:val="standardContextual"/>
        </w:rPr>
        <w:t>91.7%</w:t>
      </w:r>
      <w:r w:rsidRPr="005D566D">
        <w:rPr>
          <w:rFonts w:ascii="Times New Roman" w:eastAsia="Aptos" w:hAnsi="Times New Roman" w:cs="Times New Roman"/>
          <w:b w:val="0"/>
          <w:color w:val="auto"/>
          <w:kern w:val="2"/>
          <w:sz w:val="24"/>
          <w:szCs w:val="24"/>
          <w14:ligatures w14:val="standardContextual"/>
        </w:rPr>
        <w:t>.</w:t>
      </w:r>
    </w:p>
    <w:p w:rsidR="0041528A" w:rsidRPr="00157389" w:rsidRDefault="005D566D" w:rsidP="005D566D">
      <w:pPr>
        <w:numPr>
          <w:ilvl w:val="0"/>
          <w:numId w:val="23"/>
        </w:numPr>
        <w:spacing w:after="160" w:line="240" w:lineRule="auto"/>
        <w:rPr>
          <w:rFonts w:ascii="Times New Roman" w:eastAsia="Aptos" w:hAnsi="Times New Roman" w:cs="Times New Roman"/>
          <w:b w:val="0"/>
          <w:color w:val="auto"/>
          <w:kern w:val="2"/>
          <w:sz w:val="24"/>
          <w:szCs w:val="24"/>
          <w14:ligatures w14:val="standardContextual"/>
        </w:rPr>
      </w:pPr>
      <w:r w:rsidRPr="005D566D">
        <w:rPr>
          <w:rFonts w:ascii="Times New Roman" w:eastAsia="Aptos" w:hAnsi="Times New Roman" w:cs="Times New Roman"/>
          <w:b w:val="0"/>
          <w:color w:val="auto"/>
          <w:kern w:val="2"/>
          <w:sz w:val="24"/>
          <w:szCs w:val="24"/>
          <w14:ligatures w14:val="standardContextual"/>
        </w:rPr>
        <w:t xml:space="preserve">A </w:t>
      </w:r>
      <w:r w:rsidRPr="005D566D">
        <w:rPr>
          <w:rFonts w:ascii="Times New Roman" w:eastAsia="Aptos" w:hAnsi="Times New Roman" w:cs="Times New Roman"/>
          <w:bCs/>
          <w:color w:val="auto"/>
          <w:kern w:val="2"/>
          <w:sz w:val="24"/>
          <w:szCs w:val="24"/>
          <w14:ligatures w14:val="standardContextual"/>
        </w:rPr>
        <w:t>20% reduction</w:t>
      </w:r>
      <w:r w:rsidRPr="005D566D">
        <w:rPr>
          <w:rFonts w:ascii="Times New Roman" w:eastAsia="Aptos" w:hAnsi="Times New Roman" w:cs="Times New Roman"/>
          <w:b w:val="0"/>
          <w:color w:val="auto"/>
          <w:kern w:val="2"/>
          <w:sz w:val="24"/>
          <w:szCs w:val="24"/>
          <w14:ligatures w14:val="standardContextual"/>
        </w:rPr>
        <w:t xml:space="preserve"> in imports from China alone could lead to a </w:t>
      </w:r>
      <w:r w:rsidRPr="005D566D">
        <w:rPr>
          <w:rFonts w:ascii="Times New Roman" w:eastAsia="Aptos" w:hAnsi="Times New Roman" w:cs="Times New Roman"/>
          <w:bCs/>
          <w:color w:val="auto"/>
          <w:kern w:val="2"/>
          <w:sz w:val="24"/>
          <w:szCs w:val="24"/>
          <w14:ligatures w14:val="standardContextual"/>
        </w:rPr>
        <w:t>₦154 billion</w:t>
      </w:r>
      <w:r w:rsidRPr="005D566D">
        <w:rPr>
          <w:rFonts w:ascii="Times New Roman" w:eastAsia="Aptos" w:hAnsi="Times New Roman" w:cs="Times New Roman"/>
          <w:b w:val="0"/>
          <w:color w:val="auto"/>
          <w:kern w:val="2"/>
          <w:sz w:val="24"/>
          <w:szCs w:val="24"/>
          <w14:ligatures w14:val="standardContextual"/>
        </w:rPr>
        <w:t xml:space="preserve"> cumulative tax shortfall over five years. However, the diminishing gap by 2024 indicates potential resilience and adaptability in the system.</w:t>
      </w:r>
    </w:p>
    <w:p w:rsidR="005D566D" w:rsidRDefault="005D566D" w:rsidP="0041528A">
      <w:pPr>
        <w:spacing w:after="160" w:line="240" w:lineRule="auto"/>
        <w:ind w:left="360"/>
        <w:rPr>
          <w:rFonts w:ascii="Times New Roman" w:eastAsia="Aptos" w:hAnsi="Times New Roman" w:cs="Times New Roman"/>
          <w:bCs/>
          <w:color w:val="auto"/>
          <w:kern w:val="2"/>
          <w:sz w:val="24"/>
          <w:szCs w:val="24"/>
          <w14:ligatures w14:val="standardContextual"/>
        </w:rPr>
      </w:pPr>
      <w:r>
        <w:rPr>
          <w:noProof/>
        </w:rPr>
        <w:lastRenderedPageBreak/>
        <w:drawing>
          <wp:inline distT="0" distB="0" distL="0" distR="0">
            <wp:extent cx="2957195" cy="2298356"/>
            <wp:effectExtent l="0" t="0" r="0" b="6985"/>
            <wp:docPr id="1636036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266" cy="2305406"/>
                    </a:xfrm>
                    <a:prstGeom prst="rect">
                      <a:avLst/>
                    </a:prstGeom>
                    <a:noFill/>
                    <a:ln>
                      <a:noFill/>
                    </a:ln>
                  </pic:spPr>
                </pic:pic>
              </a:graphicData>
            </a:graphic>
          </wp:inline>
        </w:drawing>
      </w:r>
      <w:r>
        <w:rPr>
          <w:rFonts w:ascii="Times New Roman" w:eastAsia="Aptos" w:hAnsi="Times New Roman" w:cs="Times New Roman"/>
          <w:bCs/>
          <w:color w:val="auto"/>
          <w:kern w:val="2"/>
          <w:sz w:val="24"/>
          <w:szCs w:val="24"/>
          <w14:ligatures w14:val="standardContextual"/>
        </w:rPr>
        <w:t xml:space="preserve">  </w:t>
      </w:r>
      <w:r>
        <w:rPr>
          <w:noProof/>
        </w:rPr>
        <w:drawing>
          <wp:inline distT="0" distB="0" distL="0" distR="0">
            <wp:extent cx="2806825" cy="2166551"/>
            <wp:effectExtent l="0" t="0" r="0" b="5715"/>
            <wp:docPr id="205699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401" cy="2197099"/>
                    </a:xfrm>
                    <a:prstGeom prst="rect">
                      <a:avLst/>
                    </a:prstGeom>
                    <a:noFill/>
                    <a:ln>
                      <a:noFill/>
                    </a:ln>
                  </pic:spPr>
                </pic:pic>
              </a:graphicData>
            </a:graphic>
          </wp:inline>
        </w:drawing>
      </w:r>
    </w:p>
    <w:p w:rsidR="00861786" w:rsidRPr="00861786" w:rsidRDefault="00861786" w:rsidP="0041528A">
      <w:pPr>
        <w:spacing w:after="160" w:line="240" w:lineRule="auto"/>
        <w:ind w:left="360"/>
        <w:rPr>
          <w:rFonts w:ascii="Times New Roman" w:eastAsia="Aptos" w:hAnsi="Times New Roman" w:cs="Times New Roman"/>
          <w:bCs/>
          <w:color w:val="auto"/>
          <w:kern w:val="2"/>
          <w:sz w:val="18"/>
          <w:szCs w:val="18"/>
          <w14:ligatures w14:val="standardContextual"/>
        </w:rPr>
      </w:pPr>
      <w:r>
        <w:rPr>
          <w:rFonts w:ascii="Times New Roman" w:eastAsia="Aptos" w:hAnsi="Times New Roman" w:cs="Times New Roman"/>
          <w:bCs/>
          <w:color w:val="auto"/>
          <w:kern w:val="2"/>
          <w:sz w:val="18"/>
          <w:szCs w:val="18"/>
          <w14:ligatures w14:val="standardContextual"/>
        </w:rPr>
        <w:t>Fig 3.1 Chart showing Top HS Code by Import Value</w:t>
      </w:r>
      <w:r>
        <w:rPr>
          <w:rFonts w:ascii="Times New Roman" w:eastAsia="Aptos" w:hAnsi="Times New Roman" w:cs="Times New Roman"/>
          <w:bCs/>
          <w:color w:val="auto"/>
          <w:kern w:val="2"/>
          <w:sz w:val="18"/>
          <w:szCs w:val="18"/>
          <w14:ligatures w14:val="standardContextual"/>
        </w:rPr>
        <w:tab/>
        <w:t xml:space="preserve">     Fig 3.2 Chart showing country of supply by HS Code</w:t>
      </w:r>
    </w:p>
    <w:p w:rsidR="005D566D" w:rsidRDefault="00043255" w:rsidP="0041528A">
      <w:pPr>
        <w:spacing w:after="160" w:line="240" w:lineRule="auto"/>
        <w:ind w:left="360"/>
        <w:rPr>
          <w:rFonts w:ascii="Times New Roman" w:eastAsia="Aptos" w:hAnsi="Times New Roman" w:cs="Times New Roman"/>
          <w:bCs/>
          <w:color w:val="auto"/>
          <w:kern w:val="2"/>
          <w:sz w:val="24"/>
          <w:szCs w:val="24"/>
          <w14:ligatures w14:val="standardContextual"/>
        </w:rPr>
      </w:pPr>
      <w:r>
        <w:rPr>
          <w:noProof/>
        </w:rPr>
        <w:drawing>
          <wp:inline distT="0" distB="0" distL="0" distR="0">
            <wp:extent cx="6309360" cy="4039235"/>
            <wp:effectExtent l="0" t="0" r="0" b="0"/>
            <wp:docPr id="844606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039235"/>
                    </a:xfrm>
                    <a:prstGeom prst="rect">
                      <a:avLst/>
                    </a:prstGeom>
                    <a:noFill/>
                    <a:ln>
                      <a:noFill/>
                    </a:ln>
                  </pic:spPr>
                </pic:pic>
              </a:graphicData>
            </a:graphic>
          </wp:inline>
        </w:drawing>
      </w:r>
    </w:p>
    <w:p w:rsidR="0041528A" w:rsidRPr="005D566D" w:rsidRDefault="0041528A" w:rsidP="0041528A">
      <w:pPr>
        <w:spacing w:after="160" w:line="240" w:lineRule="auto"/>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Tax Revenue Trends, Forecast, and Leakage</w:t>
      </w:r>
      <w:r w:rsidR="005D566D" w:rsidRPr="005D566D">
        <w:rPr>
          <w:rFonts w:ascii="Times New Roman" w:eastAsia="Aptos" w:hAnsi="Times New Roman" w:cs="Times New Roman"/>
          <w:bCs/>
          <w:color w:val="auto"/>
          <w:kern w:val="2"/>
          <w:sz w:val="24"/>
          <w:szCs w:val="24"/>
          <w14:ligatures w14:val="standardContextual"/>
        </w:rPr>
        <w:t>:</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1. Significant Tax Gap</w:t>
      </w:r>
      <w:r w:rsidRPr="00861786">
        <w:rPr>
          <w:rFonts w:ascii="Times New Roman" w:eastAsia="Aptos" w:hAnsi="Times New Roman" w:cs="Times New Roman"/>
          <w:b w:val="0"/>
          <w:color w:val="auto"/>
          <w:kern w:val="2"/>
          <w:sz w:val="24"/>
          <w:szCs w:val="24"/>
          <w14:ligatures w14:val="standardContextual"/>
        </w:rPr>
        <w:br/>
        <w:t xml:space="preserve">Analysis revealed a notable shortfall between expected and actual tax revenue. While the </w:t>
      </w:r>
      <w:r w:rsidRPr="00861786">
        <w:rPr>
          <w:rFonts w:ascii="Times New Roman" w:eastAsia="Aptos" w:hAnsi="Times New Roman" w:cs="Times New Roman"/>
          <w:bCs/>
          <w:color w:val="auto"/>
          <w:kern w:val="2"/>
          <w:sz w:val="24"/>
          <w:szCs w:val="24"/>
          <w14:ligatures w14:val="standardContextual"/>
        </w:rPr>
        <w:t>expected tax</w:t>
      </w:r>
      <w:r w:rsidRPr="00861786">
        <w:rPr>
          <w:rFonts w:ascii="Times New Roman" w:eastAsia="Aptos" w:hAnsi="Times New Roman" w:cs="Times New Roman"/>
          <w:b w:val="0"/>
          <w:color w:val="auto"/>
          <w:kern w:val="2"/>
          <w:sz w:val="24"/>
          <w:szCs w:val="24"/>
          <w14:ligatures w14:val="standardContextual"/>
        </w:rPr>
        <w:t xml:space="preserve"> for HS Code 85 imports in 2023 was </w:t>
      </w:r>
      <w:r w:rsidRPr="00861786">
        <w:rPr>
          <w:rFonts w:ascii="Times New Roman" w:eastAsia="Aptos" w:hAnsi="Times New Roman" w:cs="Times New Roman"/>
          <w:bCs/>
          <w:color w:val="auto"/>
          <w:kern w:val="2"/>
          <w:sz w:val="24"/>
          <w:szCs w:val="24"/>
          <w14:ligatures w14:val="standardContextual"/>
        </w:rPr>
        <w:t>₦109.02 billion</w:t>
      </w:r>
      <w:r w:rsidRPr="00861786">
        <w:rPr>
          <w:rFonts w:ascii="Times New Roman" w:eastAsia="Aptos" w:hAnsi="Times New Roman" w:cs="Times New Roman"/>
          <w:b w:val="0"/>
          <w:color w:val="auto"/>
          <w:kern w:val="2"/>
          <w:sz w:val="24"/>
          <w:szCs w:val="24"/>
          <w14:ligatures w14:val="standardContextual"/>
        </w:rPr>
        <w:t xml:space="preserve">, actual collections amounted to only </w:t>
      </w:r>
      <w:r w:rsidRPr="00861786">
        <w:rPr>
          <w:rFonts w:ascii="Times New Roman" w:eastAsia="Aptos" w:hAnsi="Times New Roman" w:cs="Times New Roman"/>
          <w:bCs/>
          <w:color w:val="auto"/>
          <w:kern w:val="2"/>
          <w:sz w:val="24"/>
          <w:szCs w:val="24"/>
          <w14:ligatures w14:val="standardContextual"/>
        </w:rPr>
        <w:t>₦100.16 billion</w:t>
      </w:r>
      <w:r w:rsidRPr="00861786">
        <w:rPr>
          <w:rFonts w:ascii="Times New Roman" w:eastAsia="Aptos" w:hAnsi="Times New Roman" w:cs="Times New Roman"/>
          <w:b w:val="0"/>
          <w:color w:val="auto"/>
          <w:kern w:val="2"/>
          <w:sz w:val="24"/>
          <w:szCs w:val="24"/>
          <w14:ligatures w14:val="standardContextual"/>
        </w:rPr>
        <w:t xml:space="preserve">, leaving a </w:t>
      </w:r>
      <w:r w:rsidRPr="00861786">
        <w:rPr>
          <w:rFonts w:ascii="Times New Roman" w:eastAsia="Aptos" w:hAnsi="Times New Roman" w:cs="Times New Roman"/>
          <w:bCs/>
          <w:color w:val="auto"/>
          <w:kern w:val="2"/>
          <w:sz w:val="24"/>
          <w:szCs w:val="24"/>
          <w14:ligatures w14:val="standardContextual"/>
        </w:rPr>
        <w:t>tax gap of ₦8.86 billion</w:t>
      </w:r>
      <w:r w:rsidRPr="00861786">
        <w:rPr>
          <w:rFonts w:ascii="Times New Roman" w:eastAsia="Aptos" w:hAnsi="Times New Roman" w:cs="Times New Roman"/>
          <w:b w:val="0"/>
          <w:color w:val="auto"/>
          <w:kern w:val="2"/>
          <w:sz w:val="24"/>
          <w:szCs w:val="24"/>
          <w14:ligatures w14:val="standardContextual"/>
        </w:rPr>
        <w:t xml:space="preserve">. This reflects a </w:t>
      </w:r>
      <w:r w:rsidRPr="00861786">
        <w:rPr>
          <w:rFonts w:ascii="Times New Roman" w:eastAsia="Aptos" w:hAnsi="Times New Roman" w:cs="Times New Roman"/>
          <w:bCs/>
          <w:color w:val="auto"/>
          <w:kern w:val="2"/>
          <w:sz w:val="24"/>
          <w:szCs w:val="24"/>
          <w14:ligatures w14:val="standardContextual"/>
        </w:rPr>
        <w:t>0.5 percentage point drop</w:t>
      </w:r>
      <w:r w:rsidRPr="00861786">
        <w:rPr>
          <w:rFonts w:ascii="Times New Roman" w:eastAsia="Aptos" w:hAnsi="Times New Roman" w:cs="Times New Roman"/>
          <w:b w:val="0"/>
          <w:color w:val="auto"/>
          <w:kern w:val="2"/>
          <w:sz w:val="24"/>
          <w:szCs w:val="24"/>
          <w14:ligatures w14:val="standardContextual"/>
        </w:rPr>
        <w:t xml:space="preserve"> from the expected average tax rate (17.6%) to the observed rate (17.1%).</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lastRenderedPageBreak/>
        <w:t>2. Disparities Across Customs Offices</w:t>
      </w:r>
      <w:r w:rsidRPr="00861786">
        <w:rPr>
          <w:rFonts w:ascii="Times New Roman" w:eastAsia="Aptos" w:hAnsi="Times New Roman" w:cs="Times New Roman"/>
          <w:b w:val="0"/>
          <w:color w:val="auto"/>
          <w:kern w:val="2"/>
          <w:sz w:val="24"/>
          <w:szCs w:val="24"/>
          <w14:ligatures w14:val="standardContextual"/>
        </w:rPr>
        <w:br/>
        <w:t>Custom offices handling large import volumes recorded substantial tax gaps, indicating compliance or enforcement inefficiencies:</w:t>
      </w:r>
    </w:p>
    <w:p w:rsidR="00861786" w:rsidRPr="00861786" w:rsidRDefault="00861786" w:rsidP="00861786">
      <w:pPr>
        <w:numPr>
          <w:ilvl w:val="0"/>
          <w:numId w:val="25"/>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Tin Can Island</w:t>
      </w:r>
      <w:r w:rsidRPr="00861786">
        <w:rPr>
          <w:rFonts w:ascii="Times New Roman" w:eastAsia="Aptos" w:hAnsi="Times New Roman" w:cs="Times New Roman"/>
          <w:b w:val="0"/>
          <w:color w:val="auto"/>
          <w:kern w:val="2"/>
          <w:sz w:val="24"/>
          <w:szCs w:val="24"/>
          <w14:ligatures w14:val="standardContextual"/>
        </w:rPr>
        <w:t>: ₦2.42B gap</w:t>
      </w:r>
    </w:p>
    <w:p w:rsidR="00861786" w:rsidRPr="00861786" w:rsidRDefault="00861786" w:rsidP="00861786">
      <w:pPr>
        <w:numPr>
          <w:ilvl w:val="0"/>
          <w:numId w:val="25"/>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Apapa Port</w:t>
      </w:r>
      <w:r w:rsidRPr="00861786">
        <w:rPr>
          <w:rFonts w:ascii="Times New Roman" w:eastAsia="Aptos" w:hAnsi="Times New Roman" w:cs="Times New Roman"/>
          <w:b w:val="0"/>
          <w:color w:val="auto"/>
          <w:kern w:val="2"/>
          <w:sz w:val="24"/>
          <w:szCs w:val="24"/>
          <w14:ligatures w14:val="standardContextual"/>
        </w:rPr>
        <w:t>: ₦2.28B gap</w:t>
      </w:r>
    </w:p>
    <w:p w:rsidR="00861786" w:rsidRPr="00861786" w:rsidRDefault="00861786" w:rsidP="00861786">
      <w:pPr>
        <w:numPr>
          <w:ilvl w:val="0"/>
          <w:numId w:val="25"/>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Tin Can 2</w:t>
      </w:r>
      <w:r w:rsidRPr="00861786">
        <w:rPr>
          <w:rFonts w:ascii="Times New Roman" w:eastAsia="Aptos" w:hAnsi="Times New Roman" w:cs="Times New Roman"/>
          <w:b w:val="0"/>
          <w:color w:val="auto"/>
          <w:kern w:val="2"/>
          <w:sz w:val="24"/>
          <w:szCs w:val="24"/>
          <w14:ligatures w14:val="standardContextual"/>
        </w:rPr>
        <w:t>: ₦1.76B gap</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 w:val="0"/>
          <w:color w:val="auto"/>
          <w:kern w:val="2"/>
          <w:sz w:val="24"/>
          <w:szCs w:val="24"/>
          <w14:ligatures w14:val="standardContextual"/>
        </w:rPr>
        <w:t>These discrepancies suggest the need for tighter oversight and process harmonization at key entry points.</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3. High-Risk Importers</w:t>
      </w:r>
      <w:r w:rsidRPr="00861786">
        <w:rPr>
          <w:rFonts w:ascii="Times New Roman" w:eastAsia="Aptos" w:hAnsi="Times New Roman" w:cs="Times New Roman"/>
          <w:b w:val="0"/>
          <w:color w:val="auto"/>
          <w:kern w:val="2"/>
          <w:sz w:val="24"/>
          <w:szCs w:val="24"/>
          <w14:ligatures w14:val="standardContextual"/>
        </w:rPr>
        <w:br/>
        <w:t>Several major importers were found to have significant shortfalls between expected and observed tax payments:</w:t>
      </w:r>
    </w:p>
    <w:p w:rsidR="00861786" w:rsidRPr="00861786" w:rsidRDefault="00861786" w:rsidP="00861786">
      <w:pPr>
        <w:numPr>
          <w:ilvl w:val="0"/>
          <w:numId w:val="26"/>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Dangote Petroleum Refinery</w:t>
      </w:r>
      <w:r w:rsidRPr="00861786">
        <w:rPr>
          <w:rFonts w:ascii="Times New Roman" w:eastAsia="Aptos" w:hAnsi="Times New Roman" w:cs="Times New Roman"/>
          <w:b w:val="0"/>
          <w:color w:val="auto"/>
          <w:kern w:val="2"/>
          <w:sz w:val="24"/>
          <w:szCs w:val="24"/>
          <w14:ligatures w14:val="standardContextual"/>
        </w:rPr>
        <w:t>: ₦2.23B</w:t>
      </w:r>
    </w:p>
    <w:p w:rsidR="00861786" w:rsidRPr="00861786" w:rsidRDefault="00861786" w:rsidP="00861786">
      <w:pPr>
        <w:numPr>
          <w:ilvl w:val="0"/>
          <w:numId w:val="26"/>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MultiChoice Nigeria</w:t>
      </w:r>
      <w:r w:rsidRPr="00861786">
        <w:rPr>
          <w:rFonts w:ascii="Times New Roman" w:eastAsia="Aptos" w:hAnsi="Times New Roman" w:cs="Times New Roman"/>
          <w:b w:val="0"/>
          <w:color w:val="auto"/>
          <w:kern w:val="2"/>
          <w:sz w:val="24"/>
          <w:szCs w:val="24"/>
          <w14:ligatures w14:val="standardContextual"/>
        </w:rPr>
        <w:t>: ₦1.98B</w:t>
      </w:r>
    </w:p>
    <w:p w:rsidR="00861786" w:rsidRPr="00861786" w:rsidRDefault="00861786" w:rsidP="00861786">
      <w:pPr>
        <w:numPr>
          <w:ilvl w:val="0"/>
          <w:numId w:val="26"/>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Indorama Eleme Fertilizer</w:t>
      </w:r>
      <w:r w:rsidRPr="00861786">
        <w:rPr>
          <w:rFonts w:ascii="Times New Roman" w:eastAsia="Aptos" w:hAnsi="Times New Roman" w:cs="Times New Roman"/>
          <w:b w:val="0"/>
          <w:color w:val="auto"/>
          <w:kern w:val="2"/>
          <w:sz w:val="24"/>
          <w:szCs w:val="24"/>
          <w14:ligatures w14:val="standardContextual"/>
        </w:rPr>
        <w:t>: ₦1.50B</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 w:val="0"/>
          <w:color w:val="auto"/>
          <w:kern w:val="2"/>
          <w:sz w:val="24"/>
          <w:szCs w:val="24"/>
          <w14:ligatures w14:val="standardContextual"/>
        </w:rPr>
        <w:t>Their observed tax rates were markedly below expected benchmarks, raising concerns around possible under-declaration, misclassification, or aggressive tax optimization strategies.</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4. HS Code-Specific Gaps</w:t>
      </w:r>
      <w:r w:rsidRPr="00861786">
        <w:rPr>
          <w:rFonts w:ascii="Times New Roman" w:eastAsia="Aptos" w:hAnsi="Times New Roman" w:cs="Times New Roman"/>
          <w:b w:val="0"/>
          <w:color w:val="auto"/>
          <w:kern w:val="2"/>
          <w:sz w:val="24"/>
          <w:szCs w:val="24"/>
          <w14:ligatures w14:val="standardContextual"/>
        </w:rPr>
        <w:br/>
        <w:t>Products with the highest tax discrepancies include:</w:t>
      </w:r>
    </w:p>
    <w:p w:rsidR="00861786" w:rsidRPr="00861786" w:rsidRDefault="00861786" w:rsidP="00861786">
      <w:pPr>
        <w:numPr>
          <w:ilvl w:val="0"/>
          <w:numId w:val="27"/>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Reception Apparatus (HS 8528719000)</w:t>
      </w:r>
      <w:r w:rsidRPr="00861786">
        <w:rPr>
          <w:rFonts w:ascii="Times New Roman" w:eastAsia="Aptos" w:hAnsi="Times New Roman" w:cs="Times New Roman"/>
          <w:b w:val="0"/>
          <w:color w:val="auto"/>
          <w:kern w:val="2"/>
          <w:sz w:val="24"/>
          <w:szCs w:val="24"/>
          <w14:ligatures w14:val="standardContextual"/>
        </w:rPr>
        <w:t xml:space="preserve"> – ₦2.17B</w:t>
      </w:r>
    </w:p>
    <w:p w:rsidR="00861786" w:rsidRPr="00861786" w:rsidRDefault="00861786" w:rsidP="00861786">
      <w:pPr>
        <w:numPr>
          <w:ilvl w:val="0"/>
          <w:numId w:val="27"/>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High-Voltage Conductors (HS 8544600000)</w:t>
      </w:r>
      <w:r w:rsidRPr="00861786">
        <w:rPr>
          <w:rFonts w:ascii="Times New Roman" w:eastAsia="Aptos" w:hAnsi="Times New Roman" w:cs="Times New Roman"/>
          <w:b w:val="0"/>
          <w:color w:val="auto"/>
          <w:kern w:val="2"/>
          <w:sz w:val="24"/>
          <w:szCs w:val="24"/>
          <w14:ligatures w14:val="standardContextual"/>
        </w:rPr>
        <w:t xml:space="preserve"> – ₦2.07B</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 w:val="0"/>
          <w:color w:val="auto"/>
          <w:kern w:val="2"/>
          <w:sz w:val="24"/>
          <w:szCs w:val="24"/>
          <w14:ligatures w14:val="standardContextual"/>
        </w:rPr>
        <w:t>These items may be undervalued or misclassified, resulting in consistent under-taxation.</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5. Anomaly Detection and Risk Flagging</w:t>
      </w:r>
      <w:r w:rsidRPr="00861786">
        <w:rPr>
          <w:rFonts w:ascii="Times New Roman" w:eastAsia="Aptos" w:hAnsi="Times New Roman" w:cs="Times New Roman"/>
          <w:b w:val="0"/>
          <w:color w:val="auto"/>
          <w:kern w:val="2"/>
          <w:sz w:val="24"/>
          <w:szCs w:val="24"/>
          <w14:ligatures w14:val="standardContextual"/>
        </w:rPr>
        <w:br/>
        <w:t xml:space="preserve">Using both </w:t>
      </w:r>
      <w:r w:rsidRPr="00861786">
        <w:rPr>
          <w:rFonts w:ascii="Times New Roman" w:eastAsia="Aptos" w:hAnsi="Times New Roman" w:cs="Times New Roman"/>
          <w:bCs/>
          <w:color w:val="auto"/>
          <w:kern w:val="2"/>
          <w:sz w:val="24"/>
          <w:szCs w:val="24"/>
          <w14:ligatures w14:val="standardContextual"/>
        </w:rPr>
        <w:t>Z-Score</w:t>
      </w:r>
      <w:r w:rsidRPr="00861786">
        <w:rPr>
          <w:rFonts w:ascii="Times New Roman" w:eastAsia="Aptos" w:hAnsi="Times New Roman" w:cs="Times New Roman"/>
          <w:b w:val="0"/>
          <w:color w:val="auto"/>
          <w:kern w:val="2"/>
          <w:sz w:val="24"/>
          <w:szCs w:val="24"/>
          <w14:ligatures w14:val="standardContextual"/>
        </w:rPr>
        <w:t xml:space="preserve"> and </w:t>
      </w:r>
      <w:r w:rsidRPr="00861786">
        <w:rPr>
          <w:rFonts w:ascii="Times New Roman" w:eastAsia="Aptos" w:hAnsi="Times New Roman" w:cs="Times New Roman"/>
          <w:bCs/>
          <w:color w:val="auto"/>
          <w:kern w:val="2"/>
          <w:sz w:val="24"/>
          <w:szCs w:val="24"/>
          <w14:ligatures w14:val="standardContextual"/>
        </w:rPr>
        <w:t>Isolation Forest</w:t>
      </w:r>
      <w:r w:rsidRPr="00861786">
        <w:rPr>
          <w:rFonts w:ascii="Times New Roman" w:eastAsia="Aptos" w:hAnsi="Times New Roman" w:cs="Times New Roman"/>
          <w:b w:val="0"/>
          <w:color w:val="auto"/>
          <w:kern w:val="2"/>
          <w:sz w:val="24"/>
          <w:szCs w:val="24"/>
          <w14:ligatures w14:val="standardContextual"/>
        </w:rPr>
        <w:t xml:space="preserve"> models, statistical outliers with suspiciously low tax rates were flagged, including:</w:t>
      </w:r>
    </w:p>
    <w:p w:rsidR="00861786" w:rsidRPr="00861786" w:rsidRDefault="00861786" w:rsidP="00861786">
      <w:pPr>
        <w:numPr>
          <w:ilvl w:val="0"/>
          <w:numId w:val="28"/>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Dangote Cement PLC</w:t>
      </w:r>
    </w:p>
    <w:p w:rsidR="00861786" w:rsidRPr="00861786" w:rsidRDefault="00861786" w:rsidP="00861786">
      <w:pPr>
        <w:numPr>
          <w:ilvl w:val="0"/>
          <w:numId w:val="28"/>
        </w:numPr>
        <w:spacing w:after="160" w:line="240" w:lineRule="auto"/>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Dangote Petroleum Refinery</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 w:val="0"/>
          <w:color w:val="auto"/>
          <w:kern w:val="2"/>
          <w:sz w:val="24"/>
          <w:szCs w:val="24"/>
          <w14:ligatures w14:val="standardContextual"/>
        </w:rPr>
        <w:t>These entities should be prioritized for further investigation and possible audit.</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6. Exempt or High-Gap Entities</w:t>
      </w:r>
      <w:r w:rsidRPr="00861786">
        <w:rPr>
          <w:rFonts w:ascii="Times New Roman" w:eastAsia="Aptos" w:hAnsi="Times New Roman" w:cs="Times New Roman"/>
          <w:b w:val="0"/>
          <w:color w:val="auto"/>
          <w:kern w:val="2"/>
          <w:sz w:val="24"/>
          <w:szCs w:val="24"/>
          <w14:ligatures w14:val="standardContextual"/>
        </w:rPr>
        <w:br/>
        <w:t xml:space="preserve">Organizations like the </w:t>
      </w:r>
      <w:r w:rsidRPr="00861786">
        <w:rPr>
          <w:rFonts w:ascii="Times New Roman" w:eastAsia="Aptos" w:hAnsi="Times New Roman" w:cs="Times New Roman"/>
          <w:bCs/>
          <w:color w:val="auto"/>
          <w:kern w:val="2"/>
          <w:sz w:val="24"/>
          <w:szCs w:val="24"/>
          <w14:ligatures w14:val="standardContextual"/>
        </w:rPr>
        <w:t xml:space="preserve">UN World Food </w:t>
      </w:r>
      <w:proofErr w:type="spellStart"/>
      <w:r w:rsidRPr="00861786">
        <w:rPr>
          <w:rFonts w:ascii="Times New Roman" w:eastAsia="Aptos" w:hAnsi="Times New Roman" w:cs="Times New Roman"/>
          <w:bCs/>
          <w:color w:val="auto"/>
          <w:kern w:val="2"/>
          <w:sz w:val="24"/>
          <w:szCs w:val="24"/>
          <w14:ligatures w14:val="standardContextual"/>
        </w:rPr>
        <w:t>Programme</w:t>
      </w:r>
      <w:proofErr w:type="spellEnd"/>
      <w:r w:rsidRPr="00861786">
        <w:rPr>
          <w:rFonts w:ascii="Times New Roman" w:eastAsia="Aptos" w:hAnsi="Times New Roman" w:cs="Times New Roman"/>
          <w:b w:val="0"/>
          <w:color w:val="auto"/>
          <w:kern w:val="2"/>
          <w:sz w:val="24"/>
          <w:szCs w:val="24"/>
          <w14:ligatures w14:val="standardContextual"/>
        </w:rPr>
        <w:t xml:space="preserve"> and the </w:t>
      </w:r>
      <w:r w:rsidRPr="00861786">
        <w:rPr>
          <w:rFonts w:ascii="Times New Roman" w:eastAsia="Aptos" w:hAnsi="Times New Roman" w:cs="Times New Roman"/>
          <w:bCs/>
          <w:color w:val="auto"/>
          <w:kern w:val="2"/>
          <w:sz w:val="24"/>
          <w:szCs w:val="24"/>
          <w14:ligatures w14:val="standardContextual"/>
        </w:rPr>
        <w:t>British High Commission</w:t>
      </w:r>
      <w:r w:rsidRPr="00861786">
        <w:rPr>
          <w:rFonts w:ascii="Times New Roman" w:eastAsia="Aptos" w:hAnsi="Times New Roman" w:cs="Times New Roman"/>
          <w:b w:val="0"/>
          <w:color w:val="auto"/>
          <w:kern w:val="2"/>
          <w:sz w:val="24"/>
          <w:szCs w:val="24"/>
          <w14:ligatures w14:val="standardContextual"/>
        </w:rPr>
        <w:t xml:space="preserve"> showed </w:t>
      </w:r>
      <w:r w:rsidRPr="00861786">
        <w:rPr>
          <w:rFonts w:ascii="Times New Roman" w:eastAsia="Aptos" w:hAnsi="Times New Roman" w:cs="Times New Roman"/>
          <w:bCs/>
          <w:color w:val="auto"/>
          <w:kern w:val="2"/>
          <w:sz w:val="24"/>
          <w:szCs w:val="24"/>
          <w14:ligatures w14:val="standardContextual"/>
        </w:rPr>
        <w:t>tax gaps exceeding 50%</w:t>
      </w:r>
      <w:r w:rsidRPr="00861786">
        <w:rPr>
          <w:rFonts w:ascii="Times New Roman" w:eastAsia="Aptos" w:hAnsi="Times New Roman" w:cs="Times New Roman"/>
          <w:b w:val="0"/>
          <w:color w:val="auto"/>
          <w:kern w:val="2"/>
          <w:sz w:val="24"/>
          <w:szCs w:val="24"/>
          <w14:ligatures w14:val="standardContextual"/>
        </w:rPr>
        <w:t>. While these may stem from legitimate exemptions, they warrant documentation and transparent justification.</w:t>
      </w:r>
    </w:p>
    <w:p w:rsidR="00861786" w:rsidRPr="00861786" w:rsidRDefault="00861786" w:rsidP="00861786">
      <w:pPr>
        <w:spacing w:after="160" w:line="240" w:lineRule="auto"/>
        <w:ind w:left="360"/>
        <w:rPr>
          <w:rFonts w:ascii="Times New Roman" w:eastAsia="Aptos" w:hAnsi="Times New Roman" w:cs="Times New Roman"/>
          <w:b w:val="0"/>
          <w:color w:val="auto"/>
          <w:kern w:val="2"/>
          <w:sz w:val="24"/>
          <w:szCs w:val="24"/>
          <w14:ligatures w14:val="standardContextual"/>
        </w:rPr>
      </w:pPr>
      <w:r w:rsidRPr="00861786">
        <w:rPr>
          <w:rFonts w:ascii="Times New Roman" w:eastAsia="Aptos" w:hAnsi="Times New Roman" w:cs="Times New Roman"/>
          <w:bCs/>
          <w:color w:val="auto"/>
          <w:kern w:val="2"/>
          <w:sz w:val="24"/>
          <w:szCs w:val="24"/>
          <w14:ligatures w14:val="standardContextual"/>
        </w:rPr>
        <w:t>7. Forecasted Revenue Decline</w:t>
      </w:r>
      <w:r w:rsidRPr="00861786">
        <w:rPr>
          <w:rFonts w:ascii="Times New Roman" w:eastAsia="Aptos" w:hAnsi="Times New Roman" w:cs="Times New Roman"/>
          <w:b w:val="0"/>
          <w:color w:val="auto"/>
          <w:kern w:val="2"/>
          <w:sz w:val="24"/>
          <w:szCs w:val="24"/>
          <w14:ligatures w14:val="standardContextual"/>
        </w:rPr>
        <w:br/>
        <w:t xml:space="preserve">Despite a projected rise in import volumes, tax revenue is forecasted to decline from </w:t>
      </w:r>
      <w:r w:rsidRPr="00861786">
        <w:rPr>
          <w:rFonts w:ascii="Times New Roman" w:eastAsia="Aptos" w:hAnsi="Times New Roman" w:cs="Times New Roman"/>
          <w:bCs/>
          <w:color w:val="auto"/>
          <w:kern w:val="2"/>
          <w:sz w:val="24"/>
          <w:szCs w:val="24"/>
          <w14:ligatures w14:val="standardContextual"/>
        </w:rPr>
        <w:t>₦100 billion in 2019 to ₦60 billion by 2024</w:t>
      </w:r>
      <w:r w:rsidRPr="00861786">
        <w:rPr>
          <w:rFonts w:ascii="Times New Roman" w:eastAsia="Aptos" w:hAnsi="Times New Roman" w:cs="Times New Roman"/>
          <w:b w:val="0"/>
          <w:color w:val="auto"/>
          <w:kern w:val="2"/>
          <w:sz w:val="24"/>
          <w:szCs w:val="24"/>
          <w14:ligatures w14:val="standardContextual"/>
        </w:rPr>
        <w:t xml:space="preserve">. This trend contrasts with an </w:t>
      </w:r>
      <w:r w:rsidRPr="00861786">
        <w:rPr>
          <w:rFonts w:ascii="Times New Roman" w:eastAsia="Aptos" w:hAnsi="Times New Roman" w:cs="Times New Roman"/>
          <w:bCs/>
          <w:color w:val="auto"/>
          <w:kern w:val="2"/>
          <w:sz w:val="24"/>
          <w:szCs w:val="24"/>
          <w14:ligatures w14:val="standardContextual"/>
        </w:rPr>
        <w:t>expected revenue projection of ₦112 billion</w:t>
      </w:r>
      <w:r w:rsidRPr="00861786">
        <w:rPr>
          <w:rFonts w:ascii="Times New Roman" w:eastAsia="Aptos" w:hAnsi="Times New Roman" w:cs="Times New Roman"/>
          <w:b w:val="0"/>
          <w:color w:val="auto"/>
          <w:kern w:val="2"/>
          <w:sz w:val="24"/>
          <w:szCs w:val="24"/>
          <w14:ligatures w14:val="standardContextual"/>
        </w:rPr>
        <w:t>, indicating growing inefficiencies driven by exemptions, policy loopholes, or reporting gaps.</w:t>
      </w:r>
    </w:p>
    <w:p w:rsidR="005D566D" w:rsidRPr="00157389" w:rsidRDefault="00043255" w:rsidP="0041528A">
      <w:pPr>
        <w:spacing w:after="160" w:line="240" w:lineRule="auto"/>
        <w:ind w:left="360"/>
        <w:rPr>
          <w:rFonts w:ascii="Times New Roman" w:eastAsia="Aptos" w:hAnsi="Times New Roman" w:cs="Times New Roman"/>
          <w:b w:val="0"/>
          <w:color w:val="auto"/>
          <w:kern w:val="2"/>
          <w:sz w:val="24"/>
          <w:szCs w:val="24"/>
          <w14:ligatures w14:val="standardContextual"/>
        </w:rPr>
      </w:pPr>
      <w:r>
        <w:rPr>
          <w:noProof/>
        </w:rPr>
        <w:lastRenderedPageBreak/>
        <w:drawing>
          <wp:inline distT="0" distB="0" distL="0" distR="0">
            <wp:extent cx="3006811" cy="2388870"/>
            <wp:effectExtent l="0" t="0" r="3175" b="0"/>
            <wp:docPr id="512082803" name="Picture 11" descr="A graph of tax gap by custom off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2803" name="Picture 11" descr="A graph of tax gap by custom offic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5835" cy="2396040"/>
                    </a:xfrm>
                    <a:prstGeom prst="rect">
                      <a:avLst/>
                    </a:prstGeom>
                    <a:noFill/>
                    <a:ln>
                      <a:noFill/>
                    </a:ln>
                  </pic:spPr>
                </pic:pic>
              </a:graphicData>
            </a:graphic>
          </wp:inline>
        </w:drawing>
      </w:r>
      <w:r>
        <w:rPr>
          <w:rFonts w:ascii="Times New Roman" w:eastAsia="Aptos" w:hAnsi="Times New Roman" w:cs="Times New Roman"/>
          <w:b w:val="0"/>
          <w:color w:val="auto"/>
          <w:kern w:val="2"/>
          <w:sz w:val="24"/>
          <w:szCs w:val="24"/>
          <w14:ligatures w14:val="standardContextual"/>
        </w:rPr>
        <w:t xml:space="preserve">  </w:t>
      </w:r>
      <w:r>
        <w:rPr>
          <w:noProof/>
        </w:rPr>
        <w:drawing>
          <wp:inline distT="0" distB="0" distL="0" distR="0">
            <wp:extent cx="2957195" cy="2379992"/>
            <wp:effectExtent l="0" t="0" r="0" b="1270"/>
            <wp:docPr id="242333975" name="Picture 12" descr="A graph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33975" name="Picture 12" descr="A graph of a number of compani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9600" cy="2406072"/>
                    </a:xfrm>
                    <a:prstGeom prst="rect">
                      <a:avLst/>
                    </a:prstGeom>
                    <a:noFill/>
                    <a:ln>
                      <a:noFill/>
                    </a:ln>
                  </pic:spPr>
                </pic:pic>
              </a:graphicData>
            </a:graphic>
          </wp:inline>
        </w:drawing>
      </w:r>
    </w:p>
    <w:p w:rsidR="00043255" w:rsidRPr="00043255" w:rsidRDefault="00043255" w:rsidP="0041528A">
      <w:pPr>
        <w:spacing w:after="160" w:line="240" w:lineRule="auto"/>
        <w:ind w:left="360"/>
        <w:rPr>
          <w:rFonts w:ascii="Times New Roman" w:eastAsia="Aptos" w:hAnsi="Times New Roman" w:cs="Times New Roman"/>
          <w:bCs/>
          <w:color w:val="auto"/>
          <w:kern w:val="2"/>
          <w:sz w:val="18"/>
          <w:szCs w:val="18"/>
          <w14:ligatures w14:val="standardContextual"/>
        </w:rPr>
      </w:pPr>
      <w:r>
        <w:rPr>
          <w:rFonts w:ascii="Times New Roman" w:eastAsia="Aptos" w:hAnsi="Times New Roman" w:cs="Times New Roman"/>
          <w:bCs/>
          <w:color w:val="auto"/>
          <w:kern w:val="2"/>
          <w:sz w:val="18"/>
          <w:szCs w:val="18"/>
          <w14:ligatures w14:val="standardContextual"/>
        </w:rPr>
        <w:t>Fig 3.3 Chart showing Tax Gap((N) by Custom Office</w:t>
      </w:r>
      <w:r>
        <w:rPr>
          <w:rFonts w:ascii="Times New Roman" w:eastAsia="Aptos" w:hAnsi="Times New Roman" w:cs="Times New Roman"/>
          <w:bCs/>
          <w:color w:val="auto"/>
          <w:kern w:val="2"/>
          <w:sz w:val="18"/>
          <w:szCs w:val="18"/>
          <w14:ligatures w14:val="standardContextual"/>
        </w:rPr>
        <w:tab/>
        <w:t xml:space="preserve">     Fig 3.4 Chart showing Tax Gap(N) by Importers</w:t>
      </w:r>
    </w:p>
    <w:p w:rsidR="0041528A" w:rsidRDefault="0041528A" w:rsidP="0041528A">
      <w:pPr>
        <w:spacing w:after="160" w:line="240" w:lineRule="auto"/>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Fastest Growing Import Categories</w:t>
      </w:r>
      <w:r w:rsidR="00861786" w:rsidRPr="00861786">
        <w:rPr>
          <w:rFonts w:ascii="Times New Roman" w:eastAsia="Aptos" w:hAnsi="Times New Roman" w:cs="Times New Roman"/>
          <w:bCs/>
          <w:color w:val="auto"/>
          <w:kern w:val="2"/>
          <w:sz w:val="24"/>
          <w:szCs w:val="24"/>
          <w14:ligatures w14:val="standardContextual"/>
        </w:rPr>
        <w:t>:</w:t>
      </w:r>
    </w:p>
    <w:p w:rsidR="00043255" w:rsidRPr="00043255" w:rsidRDefault="00043255" w:rsidP="00043255">
      <w:pPr>
        <w:pStyle w:val="ListParagraph"/>
        <w:numPr>
          <w:ilvl w:val="0"/>
          <w:numId w:val="29"/>
        </w:numPr>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HS 8502111000 – Diesel Generators (&lt;75Kva)</w:t>
      </w:r>
    </w:p>
    <w:p w:rsidR="00043255" w:rsidRPr="00043255" w:rsidRDefault="00043255" w:rsidP="00043255">
      <w:pPr>
        <w:pStyle w:val="ListParagraph"/>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These generators are critical for off-grid and backup power supply. Their rising import trend reflects persistent energy infrastructure gaps and increasing reliance on self-generated electricity.</w:t>
      </w:r>
    </w:p>
    <w:p w:rsidR="00043255" w:rsidRPr="00043255" w:rsidRDefault="00043255" w:rsidP="00043255">
      <w:pPr>
        <w:pStyle w:val="ListParagraph"/>
        <w:numPr>
          <w:ilvl w:val="0"/>
          <w:numId w:val="29"/>
        </w:numPr>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HS 8541401000 – Solar Panels and Cells</w:t>
      </w:r>
    </w:p>
    <w:p w:rsidR="00043255" w:rsidRPr="00043255" w:rsidRDefault="00043255" w:rsidP="00043255">
      <w:pPr>
        <w:pStyle w:val="ListParagraph"/>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Imports of solar technology have surged, indicating growing adoption of renewable energy solutions in response to unreliable grid access and global sustainability trends.</w:t>
      </w:r>
    </w:p>
    <w:p w:rsidR="00043255" w:rsidRPr="00043255" w:rsidRDefault="00043255" w:rsidP="00043255">
      <w:pPr>
        <w:pStyle w:val="ListParagraph"/>
        <w:numPr>
          <w:ilvl w:val="0"/>
          <w:numId w:val="29"/>
        </w:numPr>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HS 8544600000 – High-Voltage Electric Conductors</w:t>
      </w:r>
    </w:p>
    <w:p w:rsidR="00043255" w:rsidRDefault="00043255" w:rsidP="00043255">
      <w:pPr>
        <w:pStyle w:val="ListParagraph"/>
        <w:spacing w:after="160" w:line="240" w:lineRule="auto"/>
        <w:rPr>
          <w:rFonts w:ascii="Times New Roman" w:eastAsia="Aptos" w:hAnsi="Times New Roman" w:cs="Times New Roman"/>
          <w:b w:val="0"/>
          <w:color w:val="auto"/>
          <w:kern w:val="2"/>
          <w:sz w:val="24"/>
          <w:szCs w:val="24"/>
          <w14:ligatures w14:val="standardContextual"/>
        </w:rPr>
      </w:pPr>
      <w:r w:rsidRPr="00043255">
        <w:rPr>
          <w:rFonts w:ascii="Times New Roman" w:eastAsia="Aptos" w:hAnsi="Times New Roman" w:cs="Times New Roman"/>
          <w:b w:val="0"/>
          <w:color w:val="auto"/>
          <w:kern w:val="2"/>
          <w:sz w:val="24"/>
          <w:szCs w:val="24"/>
          <w14:ligatures w14:val="standardContextual"/>
        </w:rPr>
        <w:t>The demand for high-capacity transmission lines is accelerating, likely driven by infrastructure expansion and energy distribution projects.</w:t>
      </w:r>
    </w:p>
    <w:p w:rsidR="00E67B39" w:rsidRDefault="00E67B39" w:rsidP="00043255">
      <w:pPr>
        <w:pStyle w:val="ListParagraph"/>
        <w:spacing w:after="160" w:line="240" w:lineRule="auto"/>
        <w:rPr>
          <w:rFonts w:ascii="Times New Roman" w:eastAsia="Aptos" w:hAnsi="Times New Roman" w:cs="Times New Roman"/>
          <w:b w:val="0"/>
          <w:color w:val="auto"/>
          <w:kern w:val="2"/>
          <w:sz w:val="24"/>
          <w:szCs w:val="24"/>
          <w14:ligatures w14:val="standardContextual"/>
        </w:rPr>
      </w:pPr>
      <w:r>
        <w:rPr>
          <w:noProof/>
        </w:rPr>
        <w:drawing>
          <wp:inline distT="0" distB="0" distL="0" distR="0">
            <wp:extent cx="4629150" cy="2026508"/>
            <wp:effectExtent l="0" t="0" r="0" b="0"/>
            <wp:docPr id="484968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9241" cy="2048436"/>
                    </a:xfrm>
                    <a:prstGeom prst="rect">
                      <a:avLst/>
                    </a:prstGeom>
                    <a:noFill/>
                    <a:ln>
                      <a:noFill/>
                    </a:ln>
                  </pic:spPr>
                </pic:pic>
              </a:graphicData>
            </a:graphic>
          </wp:inline>
        </w:drawing>
      </w:r>
    </w:p>
    <w:p w:rsidR="00E67B39" w:rsidRPr="00043255" w:rsidRDefault="00E67B39" w:rsidP="00043255">
      <w:pPr>
        <w:pStyle w:val="ListParagraph"/>
        <w:spacing w:after="160" w:line="240" w:lineRule="auto"/>
        <w:rPr>
          <w:rFonts w:ascii="Times New Roman" w:eastAsia="Aptos" w:hAnsi="Times New Roman" w:cs="Times New Roman"/>
          <w:b w:val="0"/>
          <w:color w:val="auto"/>
          <w:kern w:val="2"/>
          <w:sz w:val="24"/>
          <w:szCs w:val="24"/>
          <w14:ligatures w14:val="standardContextual"/>
        </w:rPr>
      </w:pPr>
      <w:r>
        <w:rPr>
          <w:rFonts w:ascii="Times New Roman" w:eastAsia="Aptos" w:hAnsi="Times New Roman" w:cs="Times New Roman"/>
          <w:bCs/>
          <w:color w:val="auto"/>
          <w:kern w:val="2"/>
          <w:sz w:val="18"/>
          <w:szCs w:val="18"/>
          <w14:ligatures w14:val="standardContextual"/>
        </w:rPr>
        <w:t>Fig 3.</w:t>
      </w:r>
      <w:r>
        <w:rPr>
          <w:rFonts w:ascii="Times New Roman" w:eastAsia="Aptos" w:hAnsi="Times New Roman" w:cs="Times New Roman"/>
          <w:bCs/>
          <w:color w:val="auto"/>
          <w:kern w:val="2"/>
          <w:sz w:val="18"/>
          <w:szCs w:val="18"/>
          <w14:ligatures w14:val="standardContextual"/>
        </w:rPr>
        <w:t>5</w:t>
      </w:r>
      <w:r>
        <w:rPr>
          <w:rFonts w:ascii="Times New Roman" w:eastAsia="Aptos" w:hAnsi="Times New Roman" w:cs="Times New Roman"/>
          <w:bCs/>
          <w:color w:val="auto"/>
          <w:kern w:val="2"/>
          <w:sz w:val="18"/>
          <w:szCs w:val="18"/>
          <w14:ligatures w14:val="standardContextual"/>
        </w:rPr>
        <w:t xml:space="preserve"> Chart showing T</w:t>
      </w:r>
      <w:r>
        <w:rPr>
          <w:rFonts w:ascii="Times New Roman" w:eastAsia="Aptos" w:hAnsi="Times New Roman" w:cs="Times New Roman"/>
          <w:bCs/>
          <w:color w:val="auto"/>
          <w:kern w:val="2"/>
          <w:sz w:val="18"/>
          <w:szCs w:val="18"/>
          <w14:ligatures w14:val="standardContextual"/>
        </w:rPr>
        <w:t>op</w:t>
      </w:r>
      <w:r>
        <w:rPr>
          <w:rFonts w:ascii="Times New Roman" w:eastAsia="Aptos" w:hAnsi="Times New Roman" w:cs="Times New Roman"/>
          <w:bCs/>
          <w:color w:val="auto"/>
          <w:kern w:val="2"/>
          <w:sz w:val="18"/>
          <w:szCs w:val="18"/>
          <w14:ligatures w14:val="standardContextual"/>
        </w:rPr>
        <w:t xml:space="preserve"> </w:t>
      </w:r>
      <w:r>
        <w:rPr>
          <w:rFonts w:ascii="Times New Roman" w:eastAsia="Aptos" w:hAnsi="Times New Roman" w:cs="Times New Roman"/>
          <w:bCs/>
          <w:color w:val="auto"/>
          <w:kern w:val="2"/>
          <w:sz w:val="18"/>
          <w:szCs w:val="18"/>
          <w14:ligatures w14:val="standardContextual"/>
        </w:rPr>
        <w:t>10 fast growing HS Codes</w:t>
      </w:r>
    </w:p>
    <w:p w:rsidR="0041528A" w:rsidRDefault="0041528A" w:rsidP="0041528A">
      <w:pPr>
        <w:spacing w:after="160" w:line="240" w:lineRule="auto"/>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Opportunities for Import Substitution</w:t>
      </w:r>
      <w:r w:rsidR="00E67B39">
        <w:rPr>
          <w:rFonts w:ascii="Times New Roman" w:eastAsia="Aptos" w:hAnsi="Times New Roman" w:cs="Times New Roman"/>
          <w:bCs/>
          <w:color w:val="auto"/>
          <w:kern w:val="2"/>
          <w:sz w:val="24"/>
          <w:szCs w:val="24"/>
          <w14:ligatures w14:val="standardContextual"/>
        </w:rPr>
        <w:t>:</w:t>
      </w:r>
    </w:p>
    <w:p w:rsidR="00E67B39" w:rsidRPr="00E67B39" w:rsidRDefault="00E67B39" w:rsidP="00E67B39">
      <w:pPr>
        <w:pStyle w:val="ListParagraph"/>
        <w:numPr>
          <w:ilvl w:val="0"/>
          <w:numId w:val="29"/>
        </w:numPr>
        <w:spacing w:before="100" w:beforeAutospacing="1" w:after="100" w:afterAutospacing="1" w:line="240" w:lineRule="auto"/>
        <w:outlineLvl w:val="3"/>
        <w:rPr>
          <w:rFonts w:ascii="Times New Roman" w:eastAsia="Times New Roman" w:hAnsi="Times New Roman" w:cs="Times New Roman"/>
          <w:bCs/>
          <w:color w:val="auto"/>
          <w:sz w:val="24"/>
          <w:szCs w:val="24"/>
        </w:rPr>
      </w:pPr>
      <w:r w:rsidRPr="00E67B39">
        <w:rPr>
          <w:rFonts w:ascii="Times New Roman" w:eastAsia="Times New Roman" w:hAnsi="Times New Roman" w:cs="Times New Roman"/>
          <w:bCs/>
          <w:color w:val="auto"/>
          <w:sz w:val="24"/>
          <w:szCs w:val="24"/>
        </w:rPr>
        <w:t>High-Growth HS Codes as Innovation Levers</w:t>
      </w:r>
    </w:p>
    <w:p w:rsidR="00E67B39" w:rsidRPr="00E67B39" w:rsidRDefault="00E67B39" w:rsidP="00E67B39">
      <w:pPr>
        <w:pStyle w:val="ListParagraph"/>
        <w:spacing w:before="100" w:beforeAutospacing="1" w:after="100" w:afterAutospacing="1" w:line="240" w:lineRule="auto"/>
        <w:rPr>
          <w:rFonts w:ascii="Times New Roman" w:eastAsia="Times New Roman" w:hAnsi="Times New Roman" w:cs="Times New Roman"/>
          <w:b w:val="0"/>
          <w:color w:val="auto"/>
          <w:sz w:val="24"/>
          <w:szCs w:val="24"/>
        </w:rPr>
      </w:pPr>
      <w:r w:rsidRPr="00E67B39">
        <w:rPr>
          <w:rFonts w:ascii="Times New Roman" w:eastAsia="Times New Roman" w:hAnsi="Times New Roman" w:cs="Times New Roman"/>
          <w:b w:val="0"/>
          <w:color w:val="auto"/>
          <w:sz w:val="24"/>
          <w:szCs w:val="24"/>
        </w:rPr>
        <w:t>The fastest-growing HS codes</w:t>
      </w:r>
      <w:r>
        <w:rPr>
          <w:rFonts w:ascii="Times New Roman" w:eastAsia="Times New Roman" w:hAnsi="Times New Roman" w:cs="Times New Roman"/>
          <w:b w:val="0"/>
          <w:color w:val="auto"/>
          <w:sz w:val="24"/>
          <w:szCs w:val="24"/>
        </w:rPr>
        <w:t xml:space="preserve">, </w:t>
      </w:r>
      <w:r w:rsidRPr="00E67B39">
        <w:rPr>
          <w:rFonts w:ascii="Times New Roman" w:eastAsia="Times New Roman" w:hAnsi="Times New Roman" w:cs="Times New Roman"/>
          <w:b w:val="0"/>
          <w:color w:val="auto"/>
          <w:sz w:val="24"/>
          <w:szCs w:val="24"/>
        </w:rPr>
        <w:t xml:space="preserve">such as </w:t>
      </w:r>
      <w:r w:rsidRPr="00E67B39">
        <w:rPr>
          <w:rFonts w:ascii="Times New Roman" w:eastAsia="Times New Roman" w:hAnsi="Times New Roman" w:cs="Times New Roman"/>
          <w:bCs/>
          <w:color w:val="auto"/>
          <w:sz w:val="24"/>
          <w:szCs w:val="24"/>
        </w:rPr>
        <w:t>solar panels and cells</w:t>
      </w:r>
      <w:r w:rsidRPr="00E67B39">
        <w:rPr>
          <w:rFonts w:ascii="Times New Roman" w:eastAsia="Times New Roman" w:hAnsi="Times New Roman" w:cs="Times New Roman"/>
          <w:b w:val="0"/>
          <w:color w:val="auto"/>
          <w:sz w:val="24"/>
          <w:szCs w:val="24"/>
        </w:rPr>
        <w:t xml:space="preserve">, </w:t>
      </w:r>
      <w:r w:rsidRPr="00E67B39">
        <w:rPr>
          <w:rFonts w:ascii="Times New Roman" w:eastAsia="Times New Roman" w:hAnsi="Times New Roman" w:cs="Times New Roman"/>
          <w:bCs/>
          <w:color w:val="auto"/>
          <w:sz w:val="24"/>
          <w:szCs w:val="24"/>
        </w:rPr>
        <w:t>diesel generators</w:t>
      </w:r>
      <w:r w:rsidRPr="00E67B39">
        <w:rPr>
          <w:rFonts w:ascii="Times New Roman" w:eastAsia="Times New Roman" w:hAnsi="Times New Roman" w:cs="Times New Roman"/>
          <w:b w:val="0"/>
          <w:color w:val="auto"/>
          <w:sz w:val="24"/>
          <w:szCs w:val="24"/>
        </w:rPr>
        <w:t xml:space="preserve">, and </w:t>
      </w:r>
      <w:r w:rsidRPr="00E67B39">
        <w:rPr>
          <w:rFonts w:ascii="Times New Roman" w:eastAsia="Times New Roman" w:hAnsi="Times New Roman" w:cs="Times New Roman"/>
          <w:bCs/>
          <w:color w:val="auto"/>
          <w:sz w:val="24"/>
          <w:szCs w:val="24"/>
        </w:rPr>
        <w:t>electric control systems</w:t>
      </w:r>
      <w:r>
        <w:rPr>
          <w:rFonts w:ascii="Times New Roman" w:eastAsia="Times New Roman" w:hAnsi="Times New Roman" w:cs="Times New Roman"/>
          <w:b w:val="0"/>
          <w:color w:val="auto"/>
          <w:sz w:val="24"/>
          <w:szCs w:val="24"/>
        </w:rPr>
        <w:t xml:space="preserve"> </w:t>
      </w:r>
      <w:r w:rsidRPr="00E67B39">
        <w:rPr>
          <w:rFonts w:ascii="Times New Roman" w:eastAsia="Times New Roman" w:hAnsi="Times New Roman" w:cs="Times New Roman"/>
          <w:b w:val="0"/>
          <w:color w:val="auto"/>
          <w:sz w:val="24"/>
          <w:szCs w:val="24"/>
        </w:rPr>
        <w:t>present strategic opportunities for local production and innovation. These categories not only exhibit substantial import volumes but also align with long-term infrastructure and energy trends, making them prime candidates for targeted investment.</w:t>
      </w:r>
    </w:p>
    <w:p w:rsidR="00E67B39" w:rsidRPr="00E67B39" w:rsidRDefault="00E67B39" w:rsidP="00E67B39">
      <w:pPr>
        <w:pStyle w:val="ListParagraph"/>
        <w:numPr>
          <w:ilvl w:val="0"/>
          <w:numId w:val="29"/>
        </w:numPr>
        <w:spacing w:before="100" w:beforeAutospacing="1" w:after="100" w:afterAutospacing="1" w:line="240" w:lineRule="auto"/>
        <w:outlineLvl w:val="3"/>
        <w:rPr>
          <w:rFonts w:ascii="Times New Roman" w:eastAsia="Times New Roman" w:hAnsi="Times New Roman" w:cs="Times New Roman"/>
          <w:bCs/>
          <w:color w:val="auto"/>
          <w:sz w:val="24"/>
          <w:szCs w:val="24"/>
        </w:rPr>
      </w:pPr>
      <w:r w:rsidRPr="00E67B39">
        <w:rPr>
          <w:rFonts w:ascii="Times New Roman" w:eastAsia="Times New Roman" w:hAnsi="Times New Roman" w:cs="Times New Roman"/>
          <w:bCs/>
          <w:color w:val="auto"/>
          <w:sz w:val="24"/>
          <w:szCs w:val="24"/>
        </w:rPr>
        <w:t>Significant Fiscal Savings from Substitution</w:t>
      </w:r>
    </w:p>
    <w:p w:rsidR="00E67B39" w:rsidRPr="00E67B39" w:rsidRDefault="00E67B39" w:rsidP="00E67B39">
      <w:pPr>
        <w:pStyle w:val="ListParagraph"/>
        <w:spacing w:before="100" w:beforeAutospacing="1" w:after="100" w:afterAutospacing="1" w:line="240" w:lineRule="auto"/>
        <w:rPr>
          <w:rFonts w:ascii="Times New Roman" w:eastAsia="Times New Roman" w:hAnsi="Times New Roman" w:cs="Times New Roman"/>
          <w:b w:val="0"/>
          <w:color w:val="auto"/>
          <w:sz w:val="24"/>
          <w:szCs w:val="24"/>
        </w:rPr>
      </w:pPr>
      <w:r w:rsidRPr="00E67B39">
        <w:rPr>
          <w:rFonts w:ascii="Times New Roman" w:eastAsia="Times New Roman" w:hAnsi="Times New Roman" w:cs="Times New Roman"/>
          <w:b w:val="0"/>
          <w:color w:val="auto"/>
          <w:sz w:val="24"/>
          <w:szCs w:val="24"/>
        </w:rPr>
        <w:lastRenderedPageBreak/>
        <w:t xml:space="preserve">A </w:t>
      </w:r>
      <w:r w:rsidRPr="00E67B39">
        <w:rPr>
          <w:rFonts w:ascii="Times New Roman" w:eastAsia="Times New Roman" w:hAnsi="Times New Roman" w:cs="Times New Roman"/>
          <w:bCs/>
          <w:color w:val="auto"/>
          <w:sz w:val="24"/>
          <w:szCs w:val="24"/>
        </w:rPr>
        <w:t>20–30% substitution</w:t>
      </w:r>
      <w:r w:rsidRPr="00E67B39">
        <w:rPr>
          <w:rFonts w:ascii="Times New Roman" w:eastAsia="Times New Roman" w:hAnsi="Times New Roman" w:cs="Times New Roman"/>
          <w:b w:val="0"/>
          <w:color w:val="auto"/>
          <w:sz w:val="24"/>
          <w:szCs w:val="24"/>
        </w:rPr>
        <w:t xml:space="preserve"> of key imported electrical machinery could yield between </w:t>
      </w:r>
      <w:r w:rsidRPr="00E67B39">
        <w:rPr>
          <w:rFonts w:ascii="Times New Roman" w:eastAsia="Times New Roman" w:hAnsi="Times New Roman" w:cs="Times New Roman"/>
          <w:bCs/>
          <w:color w:val="auto"/>
          <w:sz w:val="24"/>
          <w:szCs w:val="24"/>
        </w:rPr>
        <w:t>₦5.2 trillion and ₦10.9 trillion</w:t>
      </w:r>
      <w:r w:rsidRPr="00E67B39">
        <w:rPr>
          <w:rFonts w:ascii="Times New Roman" w:eastAsia="Times New Roman" w:hAnsi="Times New Roman" w:cs="Times New Roman"/>
          <w:b w:val="0"/>
          <w:color w:val="auto"/>
          <w:sz w:val="24"/>
          <w:szCs w:val="24"/>
        </w:rPr>
        <w:t xml:space="preserve"> in cumulative savings. Products such as </w:t>
      </w:r>
      <w:r w:rsidRPr="00E67B39">
        <w:rPr>
          <w:rFonts w:ascii="Times New Roman" w:eastAsia="Times New Roman" w:hAnsi="Times New Roman" w:cs="Times New Roman"/>
          <w:bCs/>
          <w:color w:val="auto"/>
          <w:sz w:val="24"/>
          <w:szCs w:val="24"/>
        </w:rPr>
        <w:t>machines for voice/data transmission</w:t>
      </w:r>
      <w:r w:rsidRPr="00E67B39">
        <w:rPr>
          <w:rFonts w:ascii="Times New Roman" w:eastAsia="Times New Roman" w:hAnsi="Times New Roman" w:cs="Times New Roman"/>
          <w:b w:val="0"/>
          <w:color w:val="auto"/>
          <w:sz w:val="24"/>
          <w:szCs w:val="24"/>
        </w:rPr>
        <w:t xml:space="preserve"> and </w:t>
      </w:r>
      <w:r w:rsidRPr="00E67B39">
        <w:rPr>
          <w:rFonts w:ascii="Times New Roman" w:eastAsia="Times New Roman" w:hAnsi="Times New Roman" w:cs="Times New Roman"/>
          <w:bCs/>
          <w:color w:val="auto"/>
          <w:sz w:val="24"/>
          <w:szCs w:val="24"/>
        </w:rPr>
        <w:t>small-scale diesel generators</w:t>
      </w:r>
      <w:r w:rsidRPr="00E67B39">
        <w:rPr>
          <w:rFonts w:ascii="Times New Roman" w:eastAsia="Times New Roman" w:hAnsi="Times New Roman" w:cs="Times New Roman"/>
          <w:b w:val="0"/>
          <w:color w:val="auto"/>
          <w:sz w:val="24"/>
          <w:szCs w:val="24"/>
        </w:rPr>
        <w:t xml:space="preserve"> offer especially high fiscal impact, due to their combined import value and substitutability.</w:t>
      </w:r>
    </w:p>
    <w:p w:rsidR="00E67B39" w:rsidRPr="00E67B39" w:rsidRDefault="00E67B39" w:rsidP="00E67B39">
      <w:pPr>
        <w:pStyle w:val="ListParagraph"/>
        <w:numPr>
          <w:ilvl w:val="0"/>
          <w:numId w:val="29"/>
        </w:numPr>
        <w:spacing w:before="100" w:beforeAutospacing="1" w:after="100" w:afterAutospacing="1" w:line="240" w:lineRule="auto"/>
        <w:outlineLvl w:val="3"/>
        <w:rPr>
          <w:rFonts w:ascii="Times New Roman" w:eastAsia="Times New Roman" w:hAnsi="Times New Roman" w:cs="Times New Roman"/>
          <w:bCs/>
          <w:color w:val="auto"/>
          <w:sz w:val="24"/>
          <w:szCs w:val="24"/>
        </w:rPr>
      </w:pPr>
      <w:r w:rsidRPr="00E67B39">
        <w:rPr>
          <w:rFonts w:ascii="Times New Roman" w:eastAsia="Times New Roman" w:hAnsi="Times New Roman" w:cs="Times New Roman"/>
          <w:bCs/>
          <w:color w:val="auto"/>
          <w:sz w:val="24"/>
          <w:szCs w:val="24"/>
        </w:rPr>
        <w:t>Boost to Industrialization and Employment</w:t>
      </w:r>
    </w:p>
    <w:p w:rsidR="00E67B39" w:rsidRPr="00E67B39" w:rsidRDefault="00E67B39" w:rsidP="00E67B39">
      <w:pPr>
        <w:pStyle w:val="ListParagraph"/>
        <w:spacing w:before="100" w:beforeAutospacing="1" w:after="100" w:afterAutospacing="1" w:line="240" w:lineRule="auto"/>
        <w:rPr>
          <w:rFonts w:ascii="Times New Roman" w:eastAsia="Times New Roman" w:hAnsi="Times New Roman" w:cs="Times New Roman"/>
          <w:b w:val="0"/>
          <w:color w:val="auto"/>
          <w:sz w:val="24"/>
          <w:szCs w:val="24"/>
        </w:rPr>
      </w:pPr>
      <w:r w:rsidRPr="00E67B39">
        <w:rPr>
          <w:rFonts w:ascii="Times New Roman" w:eastAsia="Times New Roman" w:hAnsi="Times New Roman" w:cs="Times New Roman"/>
          <w:b w:val="0"/>
          <w:color w:val="auto"/>
          <w:sz w:val="24"/>
          <w:szCs w:val="24"/>
        </w:rPr>
        <w:t xml:space="preserve">Redirecting just </w:t>
      </w:r>
      <w:r w:rsidRPr="00E67B39">
        <w:rPr>
          <w:rFonts w:ascii="Times New Roman" w:eastAsia="Times New Roman" w:hAnsi="Times New Roman" w:cs="Times New Roman"/>
          <w:bCs/>
          <w:color w:val="auto"/>
          <w:sz w:val="24"/>
          <w:szCs w:val="24"/>
        </w:rPr>
        <w:t>30% of imports</w:t>
      </w:r>
      <w:r w:rsidRPr="00E67B39">
        <w:rPr>
          <w:rFonts w:ascii="Times New Roman" w:eastAsia="Times New Roman" w:hAnsi="Times New Roman" w:cs="Times New Roman"/>
          <w:b w:val="0"/>
          <w:color w:val="auto"/>
          <w:sz w:val="24"/>
          <w:szCs w:val="24"/>
        </w:rPr>
        <w:t xml:space="preserve"> in these categories into domestic production could generate over </w:t>
      </w:r>
      <w:r w:rsidRPr="00E67B39">
        <w:rPr>
          <w:rFonts w:ascii="Times New Roman" w:eastAsia="Times New Roman" w:hAnsi="Times New Roman" w:cs="Times New Roman"/>
          <w:bCs/>
          <w:color w:val="auto"/>
          <w:sz w:val="24"/>
          <w:szCs w:val="24"/>
        </w:rPr>
        <w:t>₦3.5 trillion</w:t>
      </w:r>
      <w:r w:rsidRPr="00E67B39">
        <w:rPr>
          <w:rFonts w:ascii="Times New Roman" w:eastAsia="Times New Roman" w:hAnsi="Times New Roman" w:cs="Times New Roman"/>
          <w:b w:val="0"/>
          <w:color w:val="auto"/>
          <w:sz w:val="24"/>
          <w:szCs w:val="24"/>
        </w:rPr>
        <w:t xml:space="preserve"> in economic value</w:t>
      </w:r>
      <w:r>
        <w:rPr>
          <w:rFonts w:ascii="Times New Roman" w:eastAsia="Times New Roman" w:hAnsi="Times New Roman" w:cs="Times New Roman"/>
          <w:b w:val="0"/>
          <w:color w:val="auto"/>
          <w:sz w:val="24"/>
          <w:szCs w:val="24"/>
        </w:rPr>
        <w:t xml:space="preserve"> </w:t>
      </w:r>
      <w:r w:rsidRPr="00E67B39">
        <w:rPr>
          <w:rFonts w:ascii="Times New Roman" w:eastAsia="Times New Roman" w:hAnsi="Times New Roman" w:cs="Times New Roman"/>
          <w:b w:val="0"/>
          <w:color w:val="auto"/>
          <w:sz w:val="24"/>
          <w:szCs w:val="24"/>
        </w:rPr>
        <w:t xml:space="preserve">driving approximately </w:t>
      </w:r>
      <w:r w:rsidRPr="00E67B39">
        <w:rPr>
          <w:rFonts w:ascii="Times New Roman" w:eastAsia="Times New Roman" w:hAnsi="Times New Roman" w:cs="Times New Roman"/>
          <w:bCs/>
          <w:color w:val="auto"/>
          <w:sz w:val="24"/>
          <w:szCs w:val="24"/>
        </w:rPr>
        <w:t>₦1 trillion in job-related activity</w:t>
      </w:r>
      <w:r w:rsidRPr="00E67B39">
        <w:rPr>
          <w:rFonts w:ascii="Times New Roman" w:eastAsia="Times New Roman" w:hAnsi="Times New Roman" w:cs="Times New Roman"/>
          <w:b w:val="0"/>
          <w:color w:val="auto"/>
          <w:sz w:val="24"/>
          <w:szCs w:val="24"/>
        </w:rPr>
        <w:t xml:space="preserve"> and </w:t>
      </w:r>
      <w:r w:rsidRPr="00E67B39">
        <w:rPr>
          <w:rFonts w:ascii="Times New Roman" w:eastAsia="Times New Roman" w:hAnsi="Times New Roman" w:cs="Times New Roman"/>
          <w:bCs/>
          <w:color w:val="auto"/>
          <w:sz w:val="24"/>
          <w:szCs w:val="24"/>
        </w:rPr>
        <w:t>₦1.5 trillion in industrial sector growth</w:t>
      </w:r>
      <w:r w:rsidRPr="00E67B39">
        <w:rPr>
          <w:rFonts w:ascii="Times New Roman" w:eastAsia="Times New Roman" w:hAnsi="Times New Roman" w:cs="Times New Roman"/>
          <w:b w:val="0"/>
          <w:color w:val="auto"/>
          <w:sz w:val="24"/>
          <w:szCs w:val="24"/>
        </w:rPr>
        <w:t>. These figures highlight the catalytic role of innovation-led substitution in achieving economic diversification and employment generation.</w:t>
      </w:r>
    </w:p>
    <w:p w:rsidR="00E67B39" w:rsidRPr="00157389" w:rsidRDefault="00E67B39" w:rsidP="00E67B39">
      <w:pPr>
        <w:pStyle w:val="ListParagraph"/>
        <w:spacing w:after="160" w:line="240" w:lineRule="auto"/>
        <w:rPr>
          <w:rFonts w:ascii="Times New Roman" w:eastAsia="Aptos" w:hAnsi="Times New Roman" w:cs="Times New Roman"/>
          <w:b w:val="0"/>
          <w:color w:val="auto"/>
          <w:kern w:val="2"/>
          <w:sz w:val="24"/>
          <w:szCs w:val="24"/>
          <w14:ligatures w14:val="standardContextual"/>
        </w:rPr>
      </w:pPr>
      <w:r>
        <w:rPr>
          <w:noProof/>
        </w:rPr>
        <w:drawing>
          <wp:inline distT="0" distB="0" distL="0" distR="0">
            <wp:extent cx="5362832" cy="2199005"/>
            <wp:effectExtent l="0" t="0" r="9525" b="0"/>
            <wp:docPr id="6560120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219" cy="2202854"/>
                    </a:xfrm>
                    <a:prstGeom prst="rect">
                      <a:avLst/>
                    </a:prstGeom>
                    <a:noFill/>
                    <a:ln>
                      <a:noFill/>
                    </a:ln>
                  </pic:spPr>
                </pic:pic>
              </a:graphicData>
            </a:graphic>
          </wp:inline>
        </w:drawing>
      </w:r>
      <w:r>
        <w:rPr>
          <w:rFonts w:ascii="Times New Roman" w:eastAsia="Aptos" w:hAnsi="Times New Roman" w:cs="Times New Roman"/>
          <w:bCs/>
          <w:color w:val="auto"/>
          <w:kern w:val="2"/>
          <w:sz w:val="24"/>
          <w:szCs w:val="24"/>
          <w14:ligatures w14:val="standardContextual"/>
        </w:rPr>
        <w:br/>
      </w:r>
      <w:r>
        <w:rPr>
          <w:rFonts w:ascii="Times New Roman" w:eastAsia="Aptos" w:hAnsi="Times New Roman" w:cs="Times New Roman"/>
          <w:bCs/>
          <w:color w:val="auto"/>
          <w:kern w:val="2"/>
          <w:sz w:val="18"/>
          <w:szCs w:val="18"/>
          <w14:ligatures w14:val="standardContextual"/>
        </w:rPr>
        <w:t>Fig 3.</w:t>
      </w:r>
      <w:r>
        <w:rPr>
          <w:rFonts w:ascii="Times New Roman" w:eastAsia="Aptos" w:hAnsi="Times New Roman" w:cs="Times New Roman"/>
          <w:bCs/>
          <w:color w:val="auto"/>
          <w:kern w:val="2"/>
          <w:sz w:val="18"/>
          <w:szCs w:val="18"/>
          <w14:ligatures w14:val="standardContextual"/>
        </w:rPr>
        <w:t>6</w:t>
      </w:r>
      <w:r>
        <w:rPr>
          <w:rFonts w:ascii="Times New Roman" w:eastAsia="Aptos" w:hAnsi="Times New Roman" w:cs="Times New Roman"/>
          <w:bCs/>
          <w:color w:val="auto"/>
          <w:kern w:val="2"/>
          <w:sz w:val="18"/>
          <w:szCs w:val="18"/>
          <w14:ligatures w14:val="standardContextual"/>
        </w:rPr>
        <w:t xml:space="preserve"> Chart showing Top 10 HS Codes</w:t>
      </w:r>
      <w:r>
        <w:rPr>
          <w:rFonts w:ascii="Times New Roman" w:eastAsia="Aptos" w:hAnsi="Times New Roman" w:cs="Times New Roman"/>
          <w:bCs/>
          <w:color w:val="auto"/>
          <w:kern w:val="2"/>
          <w:sz w:val="18"/>
          <w:szCs w:val="18"/>
          <w14:ligatures w14:val="standardContextual"/>
        </w:rPr>
        <w:t xml:space="preserve"> by fiscal impact of substitution</w:t>
      </w:r>
    </w:p>
    <w:p w:rsidR="0041528A" w:rsidRPr="00E67B39" w:rsidRDefault="0041528A" w:rsidP="0041528A">
      <w:pPr>
        <w:spacing w:after="160" w:line="240" w:lineRule="auto"/>
        <w:ind w:left="360"/>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Innovation Funding Insights</w:t>
      </w:r>
      <w:r w:rsidR="00E67B39">
        <w:rPr>
          <w:rFonts w:ascii="Times New Roman" w:eastAsia="Aptos" w:hAnsi="Times New Roman" w:cs="Times New Roman"/>
          <w:bCs/>
          <w:color w:val="auto"/>
          <w:kern w:val="2"/>
          <w:sz w:val="24"/>
          <w:szCs w:val="24"/>
          <w14:ligatures w14:val="standardContextual"/>
        </w:rPr>
        <w:t>:</w:t>
      </w:r>
    </w:p>
    <w:p w:rsidR="00E67B39" w:rsidRPr="00E67B39" w:rsidRDefault="00E67B39" w:rsidP="00E67B39">
      <w:pPr>
        <w:spacing w:after="160" w:line="240" w:lineRule="auto"/>
        <w:ind w:left="360"/>
        <w:rPr>
          <w:rFonts w:ascii="Times New Roman" w:eastAsia="Aptos" w:hAnsi="Times New Roman" w:cs="Times New Roman"/>
          <w:bCs/>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Strategic Allocation of ₦100 Billion Innovation Stimulus</w:t>
      </w:r>
    </w:p>
    <w:p w:rsidR="00E67B39" w:rsidRPr="00E67B39" w:rsidRDefault="00E67B39" w:rsidP="00E67B39">
      <w:pPr>
        <w:spacing w:after="160" w:line="240" w:lineRule="auto"/>
        <w:ind w:left="360"/>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 w:val="0"/>
          <w:color w:val="auto"/>
          <w:kern w:val="2"/>
          <w:sz w:val="24"/>
          <w:szCs w:val="24"/>
          <w14:ligatures w14:val="standardContextual"/>
        </w:rPr>
        <w:t xml:space="preserve">A targeted ₦100 billion innovation fund was modeled to prioritize electrical machinery categories with the </w:t>
      </w:r>
      <w:r w:rsidRPr="00E67B39">
        <w:rPr>
          <w:rFonts w:ascii="Times New Roman" w:eastAsia="Aptos" w:hAnsi="Times New Roman" w:cs="Times New Roman"/>
          <w:bCs/>
          <w:color w:val="auto"/>
          <w:kern w:val="2"/>
          <w:sz w:val="24"/>
          <w:szCs w:val="24"/>
          <w14:ligatures w14:val="standardContextual"/>
        </w:rPr>
        <w:t>highest fiscal impact</w:t>
      </w:r>
      <w:r w:rsidRPr="00E67B39">
        <w:rPr>
          <w:rFonts w:ascii="Times New Roman" w:eastAsia="Aptos" w:hAnsi="Times New Roman" w:cs="Times New Roman"/>
          <w:b w:val="0"/>
          <w:color w:val="auto"/>
          <w:kern w:val="2"/>
          <w:sz w:val="24"/>
          <w:szCs w:val="24"/>
          <w14:ligatures w14:val="standardContextual"/>
        </w:rPr>
        <w:t xml:space="preserve"> and </w:t>
      </w:r>
      <w:r w:rsidRPr="00E67B39">
        <w:rPr>
          <w:rFonts w:ascii="Times New Roman" w:eastAsia="Aptos" w:hAnsi="Times New Roman" w:cs="Times New Roman"/>
          <w:bCs/>
          <w:color w:val="auto"/>
          <w:kern w:val="2"/>
          <w:sz w:val="24"/>
          <w:szCs w:val="24"/>
          <w14:ligatures w14:val="standardContextual"/>
        </w:rPr>
        <w:t>import substitution potential</w:t>
      </w:r>
      <w:r w:rsidRPr="00E67B39">
        <w:rPr>
          <w:rFonts w:ascii="Times New Roman" w:eastAsia="Aptos" w:hAnsi="Times New Roman" w:cs="Times New Roman"/>
          <w:b w:val="0"/>
          <w:color w:val="auto"/>
          <w:kern w:val="2"/>
          <w:sz w:val="24"/>
          <w:szCs w:val="24"/>
          <w14:ligatures w14:val="standardContextual"/>
        </w:rPr>
        <w:t>. Allocation was based on a weighted scoring system combining import volume, growth rate, and critical sector relevance.</w:t>
      </w:r>
    </w:p>
    <w:p w:rsidR="00E67B39" w:rsidRPr="00E67B39" w:rsidRDefault="00E67B39" w:rsidP="00E67B39">
      <w:pPr>
        <w:spacing w:after="160" w:line="240" w:lineRule="auto"/>
        <w:ind w:left="360"/>
        <w:rPr>
          <w:rFonts w:ascii="Times New Roman" w:eastAsia="Aptos" w:hAnsi="Times New Roman" w:cs="Times New Roman"/>
          <w:bCs/>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Top 5 Funded Categories</w:t>
      </w:r>
    </w:p>
    <w:p w:rsidR="00E67B39" w:rsidRPr="00E67B39" w:rsidRDefault="00E67B39" w:rsidP="00E67B39">
      <w:pPr>
        <w:spacing w:after="160" w:line="240" w:lineRule="auto"/>
        <w:ind w:left="360"/>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 w:val="0"/>
          <w:color w:val="auto"/>
          <w:kern w:val="2"/>
          <w:sz w:val="24"/>
          <w:szCs w:val="24"/>
          <w14:ligatures w14:val="standardContextual"/>
        </w:rPr>
        <w:t xml:space="preserve">The top five categories, commanding over </w:t>
      </w:r>
      <w:r w:rsidRPr="00E67B39">
        <w:rPr>
          <w:rFonts w:ascii="Times New Roman" w:eastAsia="Aptos" w:hAnsi="Times New Roman" w:cs="Times New Roman"/>
          <w:bCs/>
          <w:color w:val="auto"/>
          <w:kern w:val="2"/>
          <w:sz w:val="24"/>
          <w:szCs w:val="24"/>
          <w14:ligatures w14:val="standardContextual"/>
        </w:rPr>
        <w:t>56%</w:t>
      </w:r>
      <w:r w:rsidRPr="00E67B39">
        <w:rPr>
          <w:rFonts w:ascii="Times New Roman" w:eastAsia="Aptos" w:hAnsi="Times New Roman" w:cs="Times New Roman"/>
          <w:b w:val="0"/>
          <w:color w:val="auto"/>
          <w:kern w:val="2"/>
          <w:sz w:val="24"/>
          <w:szCs w:val="24"/>
          <w14:ligatures w14:val="standardContextual"/>
        </w:rPr>
        <w:t xml:space="preserve"> of the total fund, include:</w:t>
      </w:r>
    </w:p>
    <w:p w:rsidR="00E67B39" w:rsidRPr="00E67B39" w:rsidRDefault="00E67B39" w:rsidP="00E67B39">
      <w:pPr>
        <w:numPr>
          <w:ilvl w:val="0"/>
          <w:numId w:val="30"/>
        </w:numPr>
        <w:spacing w:after="160" w:line="240" w:lineRule="auto"/>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Solar Cells (HS 8541401000)</w:t>
      </w:r>
      <w:r w:rsidRPr="00E67B39">
        <w:rPr>
          <w:rFonts w:ascii="Times New Roman" w:eastAsia="Aptos" w:hAnsi="Times New Roman" w:cs="Times New Roman"/>
          <w:b w:val="0"/>
          <w:color w:val="auto"/>
          <w:kern w:val="2"/>
          <w:sz w:val="24"/>
          <w:szCs w:val="24"/>
          <w14:ligatures w14:val="standardContextual"/>
        </w:rPr>
        <w:t xml:space="preserve"> – ₦13.8B</w:t>
      </w:r>
    </w:p>
    <w:p w:rsidR="00E67B39" w:rsidRPr="00E67B39" w:rsidRDefault="00E67B39" w:rsidP="00E67B39">
      <w:pPr>
        <w:numPr>
          <w:ilvl w:val="0"/>
          <w:numId w:val="30"/>
        </w:numPr>
        <w:spacing w:after="160" w:line="240" w:lineRule="auto"/>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Data Transmission Machines (HS 8517620000)</w:t>
      </w:r>
      <w:r w:rsidRPr="00E67B39">
        <w:rPr>
          <w:rFonts w:ascii="Times New Roman" w:eastAsia="Aptos" w:hAnsi="Times New Roman" w:cs="Times New Roman"/>
          <w:b w:val="0"/>
          <w:color w:val="auto"/>
          <w:kern w:val="2"/>
          <w:sz w:val="24"/>
          <w:szCs w:val="24"/>
          <w14:ligatures w14:val="standardContextual"/>
        </w:rPr>
        <w:t xml:space="preserve"> – ₦11.7B</w:t>
      </w:r>
    </w:p>
    <w:p w:rsidR="00E67B39" w:rsidRPr="00E67B39" w:rsidRDefault="00E67B39" w:rsidP="00E67B39">
      <w:pPr>
        <w:numPr>
          <w:ilvl w:val="0"/>
          <w:numId w:val="30"/>
        </w:numPr>
        <w:spacing w:after="160" w:line="240" w:lineRule="auto"/>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Static Converters (HS 8504400000)</w:t>
      </w:r>
      <w:r w:rsidRPr="00E67B39">
        <w:rPr>
          <w:rFonts w:ascii="Times New Roman" w:eastAsia="Aptos" w:hAnsi="Times New Roman" w:cs="Times New Roman"/>
          <w:b w:val="0"/>
          <w:color w:val="auto"/>
          <w:kern w:val="2"/>
          <w:sz w:val="24"/>
          <w:szCs w:val="24"/>
          <w14:ligatures w14:val="standardContextual"/>
        </w:rPr>
        <w:t xml:space="preserve"> – ₦11.7B</w:t>
      </w:r>
    </w:p>
    <w:p w:rsidR="00E67B39" w:rsidRPr="00E67B39" w:rsidRDefault="00E67B39" w:rsidP="00E67B39">
      <w:pPr>
        <w:numPr>
          <w:ilvl w:val="0"/>
          <w:numId w:val="30"/>
        </w:numPr>
        <w:spacing w:after="160" w:line="240" w:lineRule="auto"/>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High-Voltage Electric Conductors (HS 8544600000)</w:t>
      </w:r>
      <w:r w:rsidRPr="00E67B39">
        <w:rPr>
          <w:rFonts w:ascii="Times New Roman" w:eastAsia="Aptos" w:hAnsi="Times New Roman" w:cs="Times New Roman"/>
          <w:b w:val="0"/>
          <w:color w:val="auto"/>
          <w:kern w:val="2"/>
          <w:sz w:val="24"/>
          <w:szCs w:val="24"/>
          <w14:ligatures w14:val="standardContextual"/>
        </w:rPr>
        <w:t xml:space="preserve"> – ₦10.6B</w:t>
      </w:r>
    </w:p>
    <w:p w:rsidR="00E67B39" w:rsidRPr="00E67B39" w:rsidRDefault="00E67B39" w:rsidP="00E67B39">
      <w:pPr>
        <w:numPr>
          <w:ilvl w:val="0"/>
          <w:numId w:val="30"/>
        </w:numPr>
        <w:spacing w:after="160" w:line="240" w:lineRule="auto"/>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Electric Control Panels (HS 8537100000)</w:t>
      </w:r>
      <w:r w:rsidRPr="00E67B39">
        <w:rPr>
          <w:rFonts w:ascii="Times New Roman" w:eastAsia="Aptos" w:hAnsi="Times New Roman" w:cs="Times New Roman"/>
          <w:b w:val="0"/>
          <w:color w:val="auto"/>
          <w:kern w:val="2"/>
          <w:sz w:val="24"/>
          <w:szCs w:val="24"/>
          <w14:ligatures w14:val="standardContextual"/>
        </w:rPr>
        <w:t xml:space="preserve"> – ₦9.6B</w:t>
      </w:r>
    </w:p>
    <w:p w:rsidR="00E67B39" w:rsidRPr="00E67B39" w:rsidRDefault="00E67B39" w:rsidP="00E67B39">
      <w:pPr>
        <w:spacing w:after="160" w:line="240" w:lineRule="auto"/>
        <w:ind w:left="360"/>
        <w:rPr>
          <w:rFonts w:ascii="Times New Roman" w:eastAsia="Aptos" w:hAnsi="Times New Roman" w:cs="Times New Roman"/>
          <w:bCs/>
          <w:color w:val="auto"/>
          <w:kern w:val="2"/>
          <w:sz w:val="24"/>
          <w:szCs w:val="24"/>
          <w14:ligatures w14:val="standardContextual"/>
        </w:rPr>
      </w:pPr>
      <w:r w:rsidRPr="00E67B39">
        <w:rPr>
          <w:rFonts w:ascii="Times New Roman" w:eastAsia="Aptos" w:hAnsi="Times New Roman" w:cs="Times New Roman"/>
          <w:bCs/>
          <w:color w:val="auto"/>
          <w:kern w:val="2"/>
          <w:sz w:val="24"/>
          <w:szCs w:val="24"/>
          <w14:ligatures w14:val="standardContextual"/>
        </w:rPr>
        <w:t>Remaining Allocation</w:t>
      </w:r>
    </w:p>
    <w:p w:rsidR="00E67B39" w:rsidRPr="00E67B39" w:rsidRDefault="00E67B39" w:rsidP="00E67B39">
      <w:pPr>
        <w:spacing w:after="160" w:line="240" w:lineRule="auto"/>
        <w:ind w:left="360"/>
        <w:rPr>
          <w:rFonts w:ascii="Times New Roman" w:eastAsia="Aptos" w:hAnsi="Times New Roman" w:cs="Times New Roman"/>
          <w:b w:val="0"/>
          <w:color w:val="auto"/>
          <w:kern w:val="2"/>
          <w:sz w:val="24"/>
          <w:szCs w:val="24"/>
          <w14:ligatures w14:val="standardContextual"/>
        </w:rPr>
      </w:pPr>
      <w:r w:rsidRPr="00E67B39">
        <w:rPr>
          <w:rFonts w:ascii="Times New Roman" w:eastAsia="Aptos" w:hAnsi="Times New Roman" w:cs="Times New Roman"/>
          <w:b w:val="0"/>
          <w:color w:val="auto"/>
          <w:kern w:val="2"/>
          <w:sz w:val="24"/>
          <w:szCs w:val="24"/>
          <w14:ligatures w14:val="standardContextual"/>
        </w:rPr>
        <w:t>The remaining ₦42.6 billion is distributed among five other promising categories, ensuring a diversified innovation portfolio while maximizing industrial impact and fiscal returns.</w:t>
      </w:r>
    </w:p>
    <w:p w:rsidR="005D566D" w:rsidRDefault="005D566D" w:rsidP="0041528A">
      <w:pPr>
        <w:spacing w:after="160" w:line="240" w:lineRule="auto"/>
        <w:ind w:left="360"/>
        <w:rPr>
          <w:rFonts w:ascii="Times New Roman" w:eastAsia="Aptos" w:hAnsi="Times New Roman" w:cs="Times New Roman"/>
          <w:b w:val="0"/>
          <w:color w:val="auto"/>
          <w:kern w:val="2"/>
          <w:sz w:val="24"/>
          <w:szCs w:val="24"/>
          <w14:ligatures w14:val="standardContextual"/>
        </w:rPr>
      </w:pPr>
    </w:p>
    <w:p w:rsidR="005D566D" w:rsidRDefault="005D566D" w:rsidP="0041528A">
      <w:pPr>
        <w:spacing w:after="160" w:line="240" w:lineRule="auto"/>
        <w:ind w:left="360"/>
        <w:rPr>
          <w:rFonts w:ascii="Times New Roman" w:eastAsia="Aptos" w:hAnsi="Times New Roman" w:cs="Times New Roman"/>
          <w:b w:val="0"/>
          <w:color w:val="auto"/>
          <w:kern w:val="2"/>
          <w:sz w:val="24"/>
          <w:szCs w:val="24"/>
          <w14:ligatures w14:val="standardContextual"/>
        </w:rPr>
      </w:pPr>
    </w:p>
    <w:p w:rsidR="004478BF" w:rsidRPr="0041528A" w:rsidRDefault="004478BF" w:rsidP="004478BF">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POLICY IMPLICATIONS</w:t>
      </w:r>
    </w:p>
    <w:p w:rsidR="005D566D" w:rsidRDefault="005D566D" w:rsidP="0041528A">
      <w:pPr>
        <w:spacing w:after="160" w:line="240" w:lineRule="auto"/>
        <w:ind w:left="360"/>
        <w:rPr>
          <w:rFonts w:ascii="Times New Roman" w:eastAsia="Aptos" w:hAnsi="Times New Roman" w:cs="Times New Roman"/>
          <w:b w:val="0"/>
          <w:color w:val="auto"/>
          <w:kern w:val="2"/>
          <w:sz w:val="24"/>
          <w:szCs w:val="24"/>
          <w14:ligatures w14:val="standardContextual"/>
        </w:rPr>
      </w:pPr>
    </w:p>
    <w:p w:rsidR="004478BF" w:rsidRPr="004478BF" w:rsidRDefault="004478BF" w:rsidP="004478BF">
      <w:pPr>
        <w:spacing w:after="160" w:line="278" w:lineRule="auto"/>
        <w:ind w:left="360"/>
        <w:rPr>
          <w:rFonts w:ascii="Times New Roman" w:eastAsia="Aptos" w:hAnsi="Times New Roman" w:cs="Times New Roman"/>
          <w:bCs/>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Taxation Policy Reform</w:t>
      </w:r>
    </w:p>
    <w:p w:rsidR="004478BF" w:rsidRPr="004478BF" w:rsidRDefault="004478BF" w:rsidP="004478BF">
      <w:pPr>
        <w:numPr>
          <w:ilvl w:val="0"/>
          <w:numId w:val="32"/>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Significant leakage (₦8.86B gap) and declining efficiency in tax collection demand urgent reforms.</w:t>
      </w:r>
    </w:p>
    <w:p w:rsidR="004478BF" w:rsidRPr="004478BF" w:rsidRDefault="004478BF" w:rsidP="004478BF">
      <w:pPr>
        <w:numPr>
          <w:ilvl w:val="0"/>
          <w:numId w:val="32"/>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Major ports (Tin Can, Apapa) and high-risk companies (e.g., Dangote, MultiChoice) require focused audit and enforcement.</w:t>
      </w:r>
    </w:p>
    <w:p w:rsidR="004478BF" w:rsidRPr="004478BF" w:rsidRDefault="004478BF" w:rsidP="004478BF">
      <w:pPr>
        <w:numPr>
          <w:ilvl w:val="0"/>
          <w:numId w:val="32"/>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Observed tax underperformance versus expected rates highlights the need for stronger compliance systems and oversight.</w:t>
      </w:r>
    </w:p>
    <w:p w:rsidR="004478BF" w:rsidRPr="004478BF" w:rsidRDefault="004478BF" w:rsidP="004478BF">
      <w:pPr>
        <w:spacing w:after="160" w:line="278" w:lineRule="auto"/>
        <w:ind w:left="360"/>
        <w:rPr>
          <w:rFonts w:ascii="Times New Roman" w:eastAsia="Aptos" w:hAnsi="Times New Roman" w:cs="Times New Roman"/>
          <w:bCs/>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2. Strategic Import Substitution</w:t>
      </w:r>
    </w:p>
    <w:p w:rsidR="004478BF" w:rsidRPr="004478BF" w:rsidRDefault="004478BF" w:rsidP="004478BF">
      <w:pPr>
        <w:numPr>
          <w:ilvl w:val="0"/>
          <w:numId w:val="33"/>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Fast-growing categories like solar tech, generators, and conductors show strong substitution potential.</w:t>
      </w:r>
    </w:p>
    <w:p w:rsidR="004478BF" w:rsidRPr="004478BF" w:rsidRDefault="004478BF" w:rsidP="004478BF">
      <w:pPr>
        <w:numPr>
          <w:ilvl w:val="0"/>
          <w:numId w:val="33"/>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A 20–30% substitution in select categories can save Nigeria ₦5–₦10 trillion and stimulate ₦3.5 trillion in domestic activity.</w:t>
      </w:r>
    </w:p>
    <w:p w:rsidR="004478BF" w:rsidRPr="004478BF" w:rsidRDefault="004478BF" w:rsidP="004478BF">
      <w:pPr>
        <w:numPr>
          <w:ilvl w:val="0"/>
          <w:numId w:val="33"/>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Long-term reliance on imports from countries like China increases vulnerability.</w:t>
      </w:r>
    </w:p>
    <w:p w:rsidR="004478BF" w:rsidRPr="004478BF" w:rsidRDefault="004478BF" w:rsidP="004478BF">
      <w:pPr>
        <w:spacing w:after="160" w:line="278" w:lineRule="auto"/>
        <w:ind w:left="360"/>
        <w:rPr>
          <w:rFonts w:ascii="Times New Roman" w:eastAsia="Aptos" w:hAnsi="Times New Roman" w:cs="Times New Roman"/>
          <w:bCs/>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3. Innovation Funding Allocation</w:t>
      </w:r>
    </w:p>
    <w:p w:rsidR="004478BF" w:rsidRPr="004478BF" w:rsidRDefault="004478BF" w:rsidP="004478BF">
      <w:pPr>
        <w:numPr>
          <w:ilvl w:val="0"/>
          <w:numId w:val="34"/>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₦100B innovation fund should target high-impact, fast-growing import categories.</w:t>
      </w:r>
    </w:p>
    <w:p w:rsidR="004478BF" w:rsidRPr="004478BF" w:rsidRDefault="004478BF" w:rsidP="004478BF">
      <w:pPr>
        <w:numPr>
          <w:ilvl w:val="0"/>
          <w:numId w:val="34"/>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Optimal allocation supports solar panels, data transmission machines, converters, and power infrastructure components</w:t>
      </w: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Pr="0041528A" w:rsidRDefault="004478BF" w:rsidP="004478BF">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RECOMMENDATIONS</w:t>
      </w:r>
    </w:p>
    <w:p w:rsidR="004478BF" w:rsidRPr="004478BF" w:rsidRDefault="004478BF" w:rsidP="004478BF">
      <w:pPr>
        <w:spacing w:after="160" w:line="278" w:lineRule="auto"/>
        <w:ind w:left="360"/>
        <w:rPr>
          <w:rFonts w:ascii="Times New Roman" w:eastAsia="Aptos" w:hAnsi="Times New Roman" w:cs="Times New Roman"/>
          <w:b w:val="0"/>
          <w:color w:val="auto"/>
          <w:kern w:val="2"/>
          <w:sz w:val="24"/>
          <w:szCs w:val="24"/>
          <w14:ligatures w14:val="standardContextual"/>
        </w:rPr>
      </w:pPr>
    </w:p>
    <w:p w:rsidR="004478BF" w:rsidRPr="004478BF" w:rsidRDefault="004478BF" w:rsidP="004478BF">
      <w:pPr>
        <w:spacing w:after="160" w:line="278" w:lineRule="auto"/>
        <w:rPr>
          <w:rFonts w:ascii="Times New Roman" w:eastAsia="Aptos" w:hAnsi="Times New Roman" w:cs="Times New Roman"/>
          <w:bCs/>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A. Taxation &amp; Customs Enforcement</w:t>
      </w:r>
    </w:p>
    <w:p w:rsidR="004478BF" w:rsidRPr="004478BF" w:rsidRDefault="004478BF" w:rsidP="004478BF">
      <w:pPr>
        <w:numPr>
          <w:ilvl w:val="0"/>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Conduct Targeted Audits</w:t>
      </w:r>
    </w:p>
    <w:p w:rsidR="004478BF" w:rsidRPr="004478BF" w:rsidRDefault="004478BF" w:rsidP="004478BF">
      <w:pPr>
        <w:numPr>
          <w:ilvl w:val="1"/>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Prioritize forensic audits for flagged companies (e.g., Dangote Petroleum, Indorama).</w:t>
      </w:r>
    </w:p>
    <w:p w:rsidR="004478BF" w:rsidRPr="004478BF" w:rsidRDefault="004478BF" w:rsidP="004478BF">
      <w:pPr>
        <w:numPr>
          <w:ilvl w:val="1"/>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Re-examine HS codes 8528719000 and 8544600000 for undervaluation or misclassification.</w:t>
      </w:r>
    </w:p>
    <w:p w:rsidR="004478BF" w:rsidRPr="004478BF" w:rsidRDefault="004478BF" w:rsidP="004478BF">
      <w:pPr>
        <w:numPr>
          <w:ilvl w:val="0"/>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Improve Port Compliance Systems</w:t>
      </w:r>
    </w:p>
    <w:p w:rsidR="004478BF" w:rsidRPr="004478BF" w:rsidRDefault="004478BF" w:rsidP="004478BF">
      <w:pPr>
        <w:numPr>
          <w:ilvl w:val="1"/>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Use anomaly detection models (e.g., Z-score, Isolation Forest) for real-time fraud alerts.</w:t>
      </w:r>
    </w:p>
    <w:p w:rsidR="004478BF" w:rsidRPr="004478BF" w:rsidRDefault="004478BF" w:rsidP="004478BF">
      <w:pPr>
        <w:numPr>
          <w:ilvl w:val="1"/>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Integrate digital invoicing and e-customs to reduce manual manipulation.</w:t>
      </w:r>
    </w:p>
    <w:p w:rsidR="004478BF" w:rsidRPr="004478BF" w:rsidRDefault="004478BF" w:rsidP="004478BF">
      <w:pPr>
        <w:numPr>
          <w:ilvl w:val="0"/>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Review Exemptions &amp; Leakages</w:t>
      </w:r>
    </w:p>
    <w:p w:rsidR="004478BF" w:rsidRPr="004478BF" w:rsidRDefault="004478BF" w:rsidP="004478BF">
      <w:pPr>
        <w:numPr>
          <w:ilvl w:val="1"/>
          <w:numId w:val="35"/>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Reassess entities with high gaps (e.g., UN agencies, embassies) to validate exemption status and tighten oversight.</w:t>
      </w:r>
    </w:p>
    <w:p w:rsidR="004478BF" w:rsidRPr="004478BF" w:rsidRDefault="004478BF" w:rsidP="004478BF">
      <w:pPr>
        <w:spacing w:after="160" w:line="278" w:lineRule="auto"/>
        <w:rPr>
          <w:rFonts w:ascii="Times New Roman" w:eastAsia="Aptos" w:hAnsi="Times New Roman" w:cs="Times New Roman"/>
          <w:bCs/>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B. Strategic Import Substitution</w:t>
      </w:r>
    </w:p>
    <w:p w:rsidR="004478BF" w:rsidRPr="004478BF" w:rsidRDefault="004478BF" w:rsidP="004478BF">
      <w:pPr>
        <w:numPr>
          <w:ilvl w:val="0"/>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Target High-Growth HS Codes for Substitution</w:t>
      </w:r>
      <w:r w:rsidRPr="004478BF">
        <w:rPr>
          <w:rFonts w:ascii="Times New Roman" w:eastAsia="Aptos" w:hAnsi="Times New Roman" w:cs="Times New Roman"/>
          <w:b w:val="0"/>
          <w:color w:val="auto"/>
          <w:kern w:val="2"/>
          <w:sz w:val="24"/>
          <w:szCs w:val="24"/>
          <w14:ligatures w14:val="standardContextual"/>
        </w:rPr>
        <w:br/>
        <w:t>Focus policy tools (e.g., tariffs, grants) on:</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Solar cells</w:t>
      </w:r>
      <w:r w:rsidRPr="004478BF">
        <w:rPr>
          <w:rFonts w:ascii="Times New Roman" w:eastAsia="Aptos" w:hAnsi="Times New Roman" w:cs="Times New Roman"/>
          <w:b w:val="0"/>
          <w:color w:val="auto"/>
          <w:kern w:val="2"/>
          <w:sz w:val="24"/>
          <w:szCs w:val="24"/>
          <w14:ligatures w14:val="standardContextual"/>
        </w:rPr>
        <w:t xml:space="preserve"> → Local assembly &amp; manufacturing</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High-voltage conductors</w:t>
      </w:r>
      <w:r w:rsidRPr="004478BF">
        <w:rPr>
          <w:rFonts w:ascii="Times New Roman" w:eastAsia="Aptos" w:hAnsi="Times New Roman" w:cs="Times New Roman"/>
          <w:b w:val="0"/>
          <w:color w:val="auto"/>
          <w:kern w:val="2"/>
          <w:sz w:val="24"/>
          <w:szCs w:val="24"/>
          <w14:ligatures w14:val="standardContextual"/>
        </w:rPr>
        <w:t xml:space="preserve"> → Domestic cable production</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Control panels</w:t>
      </w:r>
      <w:r w:rsidRPr="004478BF">
        <w:rPr>
          <w:rFonts w:ascii="Times New Roman" w:eastAsia="Aptos" w:hAnsi="Times New Roman" w:cs="Times New Roman"/>
          <w:b w:val="0"/>
          <w:color w:val="auto"/>
          <w:kern w:val="2"/>
          <w:sz w:val="24"/>
          <w:szCs w:val="24"/>
          <w14:ligatures w14:val="standardContextual"/>
        </w:rPr>
        <w:t xml:space="preserve"> → Industry-specific tech clusters</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Diesel gensets</w:t>
      </w:r>
      <w:r w:rsidRPr="004478BF">
        <w:rPr>
          <w:rFonts w:ascii="Times New Roman" w:eastAsia="Aptos" w:hAnsi="Times New Roman" w:cs="Times New Roman"/>
          <w:b w:val="0"/>
          <w:color w:val="auto"/>
          <w:kern w:val="2"/>
          <w:sz w:val="24"/>
          <w:szCs w:val="24"/>
          <w14:ligatures w14:val="standardContextual"/>
        </w:rPr>
        <w:t xml:space="preserve"> → Local CKD assembly with hybrid promotion</w:t>
      </w:r>
    </w:p>
    <w:p w:rsidR="004478BF" w:rsidRPr="004478BF" w:rsidRDefault="004478BF" w:rsidP="004478BF">
      <w:pPr>
        <w:numPr>
          <w:ilvl w:val="0"/>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Develop Substitution Industrial Hubs</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Establish sector-based industrial parks around top HS categories to drive economies of scale and investment.</w:t>
      </w:r>
    </w:p>
    <w:p w:rsidR="004478BF" w:rsidRPr="004478BF" w:rsidRDefault="004478BF" w:rsidP="004478BF">
      <w:pPr>
        <w:numPr>
          <w:ilvl w:val="0"/>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Cs/>
          <w:color w:val="auto"/>
          <w:kern w:val="2"/>
          <w:sz w:val="24"/>
          <w:szCs w:val="24"/>
          <w14:ligatures w14:val="standardContextual"/>
        </w:rPr>
        <w:t>Link to Employment Strategy</w:t>
      </w:r>
    </w:p>
    <w:p w:rsidR="004478BF" w:rsidRPr="004478BF" w:rsidRDefault="004478BF" w:rsidP="004478BF">
      <w:pPr>
        <w:numPr>
          <w:ilvl w:val="1"/>
          <w:numId w:val="36"/>
        </w:numPr>
        <w:spacing w:after="160" w:line="278" w:lineRule="auto"/>
        <w:rPr>
          <w:rFonts w:ascii="Times New Roman" w:eastAsia="Aptos" w:hAnsi="Times New Roman" w:cs="Times New Roman"/>
          <w:b w:val="0"/>
          <w:color w:val="auto"/>
          <w:kern w:val="2"/>
          <w:sz w:val="24"/>
          <w:szCs w:val="24"/>
          <w14:ligatures w14:val="standardContextual"/>
        </w:rPr>
      </w:pPr>
      <w:r w:rsidRPr="004478BF">
        <w:rPr>
          <w:rFonts w:ascii="Times New Roman" w:eastAsia="Aptos" w:hAnsi="Times New Roman" w:cs="Times New Roman"/>
          <w:b w:val="0"/>
          <w:color w:val="auto"/>
          <w:kern w:val="2"/>
          <w:sz w:val="24"/>
          <w:szCs w:val="24"/>
          <w14:ligatures w14:val="standardContextual"/>
        </w:rPr>
        <w:t>Integrate import substitution programs with job creation policies in clean energy, electronics, and light manufacturing.</w:t>
      </w:r>
    </w:p>
    <w:p w:rsidR="005C22D1" w:rsidRPr="005C22D1" w:rsidRDefault="005C22D1" w:rsidP="005C22D1">
      <w:pPr>
        <w:spacing w:after="160" w:line="278" w:lineRule="auto"/>
        <w:rPr>
          <w:rFonts w:ascii="Times New Roman" w:eastAsia="Aptos" w:hAnsi="Times New Roman" w:cs="Times New Roman"/>
          <w:bCs/>
          <w:color w:val="auto"/>
          <w:kern w:val="2"/>
          <w:sz w:val="24"/>
          <w:szCs w:val="24"/>
          <w14:ligatures w14:val="standardContextual"/>
        </w:rPr>
      </w:pPr>
      <w:r w:rsidRPr="005C22D1">
        <w:rPr>
          <w:rFonts w:ascii="Times New Roman" w:eastAsia="Aptos" w:hAnsi="Times New Roman" w:cs="Times New Roman"/>
          <w:bCs/>
          <w:color w:val="auto"/>
          <w:kern w:val="2"/>
          <w:sz w:val="24"/>
          <w:szCs w:val="24"/>
          <w14:ligatures w14:val="standardContextual"/>
        </w:rPr>
        <w:t>C. Innovation &amp; Fiscal Planning</w:t>
      </w:r>
    </w:p>
    <w:p w:rsidR="005C22D1" w:rsidRPr="005C22D1" w:rsidRDefault="005C22D1" w:rsidP="005C22D1">
      <w:pPr>
        <w:numPr>
          <w:ilvl w:val="0"/>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Cs/>
          <w:color w:val="auto"/>
          <w:kern w:val="2"/>
          <w:sz w:val="24"/>
          <w:szCs w:val="24"/>
          <w14:ligatures w14:val="standardContextual"/>
        </w:rPr>
        <w:t>Deploy ₦100B Fund Strategically</w:t>
      </w:r>
    </w:p>
    <w:p w:rsidR="005C22D1" w:rsidRPr="005C22D1" w:rsidRDefault="005C22D1" w:rsidP="005C22D1">
      <w:pPr>
        <w:numPr>
          <w:ilvl w:val="1"/>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 w:val="0"/>
          <w:color w:val="auto"/>
          <w:kern w:val="2"/>
          <w:sz w:val="24"/>
          <w:szCs w:val="24"/>
          <w14:ligatures w14:val="standardContextual"/>
        </w:rPr>
        <w:lastRenderedPageBreak/>
        <w:t>Align allocations with import sensitivity and local readiness; track impact across fiscal savings and job creation.</w:t>
      </w:r>
    </w:p>
    <w:p w:rsidR="005C22D1" w:rsidRPr="005C22D1" w:rsidRDefault="005C22D1" w:rsidP="005C22D1">
      <w:pPr>
        <w:numPr>
          <w:ilvl w:val="0"/>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Cs/>
          <w:color w:val="auto"/>
          <w:kern w:val="2"/>
          <w:sz w:val="24"/>
          <w:szCs w:val="24"/>
          <w14:ligatures w14:val="standardContextual"/>
        </w:rPr>
        <w:t>Offer Innovation Incentives</w:t>
      </w:r>
    </w:p>
    <w:p w:rsidR="005C22D1" w:rsidRPr="005C22D1" w:rsidRDefault="005C22D1" w:rsidP="005C22D1">
      <w:pPr>
        <w:numPr>
          <w:ilvl w:val="1"/>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 w:val="0"/>
          <w:color w:val="auto"/>
          <w:kern w:val="2"/>
          <w:sz w:val="24"/>
          <w:szCs w:val="24"/>
          <w14:ligatures w14:val="standardContextual"/>
        </w:rPr>
        <w:t>Provide tax breaks, grants, and R&amp;D credits for firms investing in local alternatives to high-import goods.</w:t>
      </w:r>
    </w:p>
    <w:p w:rsidR="005C22D1" w:rsidRPr="005C22D1" w:rsidRDefault="005C22D1" w:rsidP="005C22D1">
      <w:pPr>
        <w:numPr>
          <w:ilvl w:val="0"/>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Cs/>
          <w:color w:val="auto"/>
          <w:kern w:val="2"/>
          <w:sz w:val="24"/>
          <w:szCs w:val="24"/>
          <w14:ligatures w14:val="standardContextual"/>
        </w:rPr>
        <w:t>Use Forecasting for Policy</w:t>
      </w:r>
    </w:p>
    <w:p w:rsidR="005C22D1" w:rsidRPr="005C22D1" w:rsidRDefault="005C22D1" w:rsidP="005C22D1">
      <w:pPr>
        <w:numPr>
          <w:ilvl w:val="1"/>
          <w:numId w:val="37"/>
        </w:numPr>
        <w:spacing w:after="160" w:line="278" w:lineRule="auto"/>
        <w:rPr>
          <w:rFonts w:ascii="Times New Roman" w:eastAsia="Aptos" w:hAnsi="Times New Roman" w:cs="Times New Roman"/>
          <w:b w:val="0"/>
          <w:color w:val="auto"/>
          <w:kern w:val="2"/>
          <w:sz w:val="24"/>
          <w:szCs w:val="24"/>
          <w14:ligatures w14:val="standardContextual"/>
        </w:rPr>
      </w:pPr>
      <w:r w:rsidRPr="005C22D1">
        <w:rPr>
          <w:rFonts w:ascii="Times New Roman" w:eastAsia="Aptos" w:hAnsi="Times New Roman" w:cs="Times New Roman"/>
          <w:b w:val="0"/>
          <w:color w:val="auto"/>
          <w:kern w:val="2"/>
          <w:sz w:val="24"/>
          <w:szCs w:val="24"/>
          <w14:ligatures w14:val="standardContextual"/>
        </w:rPr>
        <w:t>Institutionalize time-series forecasting to proactively manage revenue shortfalls and substitution planning.</w:t>
      </w:r>
    </w:p>
    <w:p w:rsidR="004478BF" w:rsidRPr="00157389" w:rsidRDefault="004478BF" w:rsidP="004478BF">
      <w:pPr>
        <w:spacing w:after="160" w:line="278" w:lineRule="auto"/>
        <w:rPr>
          <w:rFonts w:ascii="Times New Roman" w:eastAsia="Aptos" w:hAnsi="Times New Roman" w:cs="Times New Roman"/>
          <w:b w:val="0"/>
          <w:color w:val="auto"/>
          <w:kern w:val="2"/>
          <w:sz w:val="24"/>
          <w:szCs w:val="24"/>
          <w14:ligatures w14:val="standardContextual"/>
        </w:rPr>
      </w:pPr>
    </w:p>
    <w:p w:rsidR="005D566D" w:rsidRPr="00157389" w:rsidRDefault="005D566D" w:rsidP="0041528A">
      <w:pPr>
        <w:spacing w:after="160" w:line="240" w:lineRule="auto"/>
        <w:ind w:left="360"/>
        <w:rPr>
          <w:rFonts w:ascii="Times New Roman" w:eastAsia="Aptos" w:hAnsi="Times New Roman" w:cs="Times New Roman"/>
          <w:b w:val="0"/>
          <w:color w:val="auto"/>
          <w:kern w:val="2"/>
          <w:sz w:val="24"/>
          <w:szCs w:val="24"/>
          <w14:ligatures w14:val="standardContextual"/>
        </w:rPr>
      </w:pPr>
    </w:p>
    <w:p w:rsidR="0041528A" w:rsidRDefault="0041528A" w:rsidP="0041528A"/>
    <w:p w:rsidR="00861786" w:rsidRDefault="00861786" w:rsidP="0041528A"/>
    <w:p w:rsidR="00861786" w:rsidRDefault="00861786" w:rsidP="0041528A"/>
    <w:p w:rsidR="00861786" w:rsidRDefault="00861786" w:rsidP="0041528A"/>
    <w:p w:rsidR="00861786" w:rsidRDefault="00861786"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Default="005C22D1" w:rsidP="0041528A"/>
    <w:p w:rsidR="005C22D1" w:rsidRPr="00157389" w:rsidRDefault="005C22D1" w:rsidP="005C22D1">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VISUAL INSIGTS</w:t>
      </w:r>
    </w:p>
    <w:p w:rsidR="005C22D1" w:rsidRPr="00157389" w:rsidRDefault="005C22D1" w:rsidP="005C22D1">
      <w:pPr>
        <w:spacing w:after="160" w:line="278" w:lineRule="auto"/>
        <w:rPr>
          <w:rFonts w:ascii="Times New Roman" w:eastAsia="Aptos" w:hAnsi="Times New Roman" w:cs="Times New Roman"/>
          <w:bCs/>
          <w:color w:val="auto"/>
          <w:kern w:val="2"/>
          <w:sz w:val="24"/>
          <w:szCs w:val="24"/>
          <w14:ligatures w14:val="standardContextual"/>
        </w:rPr>
      </w:pPr>
      <w:r w:rsidRPr="00157389">
        <w:rPr>
          <w:rFonts w:ascii="Times New Roman" w:eastAsia="Aptos" w:hAnsi="Times New Roman" w:cs="Times New Roman"/>
          <w:bCs/>
          <w:color w:val="auto"/>
          <w:kern w:val="2"/>
          <w:sz w:val="24"/>
          <w:szCs w:val="24"/>
          <w14:ligatures w14:val="standardContextual"/>
        </w:rPr>
        <w:t>Charts</w:t>
      </w:r>
      <w:r w:rsidRPr="005C22D1">
        <w:rPr>
          <w:rFonts w:ascii="Times New Roman" w:eastAsia="Aptos" w:hAnsi="Times New Roman" w:cs="Times New Roman"/>
          <w:bCs/>
          <w:color w:val="auto"/>
          <w:kern w:val="2"/>
          <w:sz w:val="24"/>
          <w:szCs w:val="24"/>
          <w14:ligatures w14:val="standardContextual"/>
        </w:rPr>
        <w:t xml:space="preserve">, </w:t>
      </w:r>
      <w:r w:rsidRPr="00157389">
        <w:rPr>
          <w:rFonts w:ascii="Times New Roman" w:eastAsia="Aptos" w:hAnsi="Times New Roman" w:cs="Times New Roman"/>
          <w:bCs/>
          <w:color w:val="auto"/>
          <w:kern w:val="2"/>
          <w:sz w:val="24"/>
          <w:szCs w:val="24"/>
          <w14:ligatures w14:val="standardContextual"/>
        </w:rPr>
        <w:t xml:space="preserve">Tables, Forecast Graphs </w:t>
      </w:r>
    </w:p>
    <w:p w:rsidR="005C22D1" w:rsidRPr="005C22D1" w:rsidRDefault="005C22D1" w:rsidP="005C22D1">
      <w:pPr>
        <w:spacing w:after="160" w:line="278" w:lineRule="auto"/>
        <w:rPr>
          <w:rFonts w:ascii="Times New Roman" w:eastAsia="Aptos" w:hAnsi="Times New Roman" w:cs="Times New Roman"/>
          <w:bCs/>
          <w:color w:val="auto"/>
          <w:kern w:val="2"/>
          <w:sz w:val="24"/>
          <w:szCs w:val="24"/>
          <w14:ligatures w14:val="standardContextual"/>
        </w:rPr>
      </w:pPr>
      <w:r w:rsidRPr="005C22D1">
        <w:rPr>
          <w:rFonts w:ascii="Times New Roman" w:eastAsia="Aptos" w:hAnsi="Times New Roman" w:cs="Times New Roman"/>
          <w:bCs/>
          <w:color w:val="auto"/>
          <w:kern w:val="2"/>
          <w:sz w:val="24"/>
          <w:szCs w:val="24"/>
          <w14:ligatures w14:val="standardContextual"/>
        </w:rPr>
        <w:drawing>
          <wp:inline distT="0" distB="0" distL="0" distR="0" wp14:anchorId="2351A127" wp14:editId="0F4B1E02">
            <wp:extent cx="3038899" cy="2124371"/>
            <wp:effectExtent l="0" t="0" r="9525" b="9525"/>
            <wp:docPr id="34921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3270" name=""/>
                    <pic:cNvPicPr/>
                  </pic:nvPicPr>
                  <pic:blipFill>
                    <a:blip r:embed="rId16"/>
                    <a:stretch>
                      <a:fillRect/>
                    </a:stretch>
                  </pic:blipFill>
                  <pic:spPr>
                    <a:xfrm>
                      <a:off x="0" y="0"/>
                      <a:ext cx="3038899" cy="2124371"/>
                    </a:xfrm>
                    <a:prstGeom prst="rect">
                      <a:avLst/>
                    </a:prstGeom>
                  </pic:spPr>
                </pic:pic>
              </a:graphicData>
            </a:graphic>
          </wp:inline>
        </w:drawing>
      </w:r>
      <w:r w:rsidRPr="005C22D1">
        <w:rPr>
          <w:rFonts w:ascii="Times New Roman" w:eastAsia="Aptos" w:hAnsi="Times New Roman" w:cs="Times New Roman"/>
          <w:bCs/>
          <w:color w:val="auto"/>
          <w:kern w:val="2"/>
          <w:sz w:val="24"/>
          <w:szCs w:val="24"/>
          <w14:ligatures w14:val="standardContextual"/>
        </w:rPr>
        <w:drawing>
          <wp:inline distT="0" distB="0" distL="0" distR="0" wp14:anchorId="51D6362C" wp14:editId="075E28D1">
            <wp:extent cx="3104857" cy="2158314"/>
            <wp:effectExtent l="0" t="0" r="635" b="0"/>
            <wp:docPr id="16796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535" name=""/>
                    <pic:cNvPicPr/>
                  </pic:nvPicPr>
                  <pic:blipFill>
                    <a:blip r:embed="rId17"/>
                    <a:stretch>
                      <a:fillRect/>
                    </a:stretch>
                  </pic:blipFill>
                  <pic:spPr>
                    <a:xfrm>
                      <a:off x="0" y="0"/>
                      <a:ext cx="3120730" cy="2169348"/>
                    </a:xfrm>
                    <a:prstGeom prst="rect">
                      <a:avLst/>
                    </a:prstGeom>
                  </pic:spPr>
                </pic:pic>
              </a:graphicData>
            </a:graphic>
          </wp:inline>
        </w:drawing>
      </w:r>
    </w:p>
    <w:p w:rsidR="00861786" w:rsidRDefault="00861786" w:rsidP="0041528A">
      <w:r>
        <w:rPr>
          <w:noProof/>
        </w:rPr>
        <w:drawing>
          <wp:inline distT="0" distB="0" distL="0" distR="0">
            <wp:extent cx="3063658" cy="2075935"/>
            <wp:effectExtent l="0" t="0" r="3810" b="635"/>
            <wp:docPr id="1706111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318" cy="2104841"/>
                    </a:xfrm>
                    <a:prstGeom prst="rect">
                      <a:avLst/>
                    </a:prstGeom>
                    <a:noFill/>
                    <a:ln>
                      <a:noFill/>
                    </a:ln>
                  </pic:spPr>
                </pic:pic>
              </a:graphicData>
            </a:graphic>
          </wp:inline>
        </w:drawing>
      </w:r>
      <w:r w:rsidR="005C22D1">
        <w:rPr>
          <w:noProof/>
        </w:rPr>
        <w:t xml:space="preserve"> </w:t>
      </w:r>
      <w:r w:rsidR="005C22D1">
        <w:rPr>
          <w:noProof/>
        </w:rPr>
        <w:drawing>
          <wp:inline distT="0" distB="0" distL="0" distR="0" wp14:anchorId="59B94238" wp14:editId="332E49DE">
            <wp:extent cx="3071248" cy="2084173"/>
            <wp:effectExtent l="0" t="0" r="0" b="0"/>
            <wp:docPr id="75919025" name="Picture 6" descr="A graph with blue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025" name="Picture 6" descr="A graph with blue lines and white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73" cy="2097084"/>
                    </a:xfrm>
                    <a:prstGeom prst="rect">
                      <a:avLst/>
                    </a:prstGeom>
                    <a:noFill/>
                    <a:ln>
                      <a:noFill/>
                    </a:ln>
                  </pic:spPr>
                </pic:pic>
              </a:graphicData>
            </a:graphic>
          </wp:inline>
        </w:drawing>
      </w:r>
    </w:p>
    <w:p w:rsidR="00861786" w:rsidRDefault="005C22D1" w:rsidP="0041528A">
      <w:r w:rsidRPr="005C22D1">
        <w:drawing>
          <wp:inline distT="0" distB="0" distL="0" distR="0" wp14:anchorId="380C232A" wp14:editId="76B6C4AD">
            <wp:extent cx="6308710" cy="1680519"/>
            <wp:effectExtent l="0" t="0" r="0" b="0"/>
            <wp:docPr id="206045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9037" name=""/>
                    <pic:cNvPicPr/>
                  </pic:nvPicPr>
                  <pic:blipFill>
                    <a:blip r:embed="rId20"/>
                    <a:stretch>
                      <a:fillRect/>
                    </a:stretch>
                  </pic:blipFill>
                  <pic:spPr>
                    <a:xfrm>
                      <a:off x="0" y="0"/>
                      <a:ext cx="6331516" cy="1686594"/>
                    </a:xfrm>
                    <a:prstGeom prst="rect">
                      <a:avLst/>
                    </a:prstGeom>
                  </pic:spPr>
                </pic:pic>
              </a:graphicData>
            </a:graphic>
          </wp:inline>
        </w:drawing>
      </w:r>
    </w:p>
    <w:p w:rsidR="00861786" w:rsidRDefault="005C22D1" w:rsidP="0041528A">
      <w:r w:rsidRPr="005C22D1">
        <w:drawing>
          <wp:inline distT="0" distB="0" distL="0" distR="0" wp14:anchorId="6FEB8FDE" wp14:editId="41A677DA">
            <wp:extent cx="6309360" cy="1161535"/>
            <wp:effectExtent l="0" t="0" r="0" b="635"/>
            <wp:docPr id="1659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261" name=""/>
                    <pic:cNvPicPr/>
                  </pic:nvPicPr>
                  <pic:blipFill>
                    <a:blip r:embed="rId21"/>
                    <a:stretch>
                      <a:fillRect/>
                    </a:stretch>
                  </pic:blipFill>
                  <pic:spPr>
                    <a:xfrm>
                      <a:off x="0" y="0"/>
                      <a:ext cx="6327331" cy="1164843"/>
                    </a:xfrm>
                    <a:prstGeom prst="rect">
                      <a:avLst/>
                    </a:prstGeom>
                  </pic:spPr>
                </pic:pic>
              </a:graphicData>
            </a:graphic>
          </wp:inline>
        </w:drawing>
      </w:r>
    </w:p>
    <w:p w:rsidR="00861786" w:rsidRDefault="00861786" w:rsidP="0041528A">
      <w:r>
        <w:rPr>
          <w:noProof/>
        </w:rPr>
        <w:lastRenderedPageBreak/>
        <w:drawing>
          <wp:inline distT="0" distB="0" distL="0" distR="0">
            <wp:extent cx="2825115" cy="2800865"/>
            <wp:effectExtent l="0" t="0" r="0" b="0"/>
            <wp:docPr id="1092433785" name="Picture 8"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3785" name="Picture 8" descr="A graph with a line going up&#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601" cy="2806304"/>
                    </a:xfrm>
                    <a:prstGeom prst="rect">
                      <a:avLst/>
                    </a:prstGeom>
                    <a:noFill/>
                    <a:ln>
                      <a:noFill/>
                    </a:ln>
                  </pic:spPr>
                </pic:pic>
              </a:graphicData>
            </a:graphic>
          </wp:inline>
        </w:drawing>
      </w:r>
      <w:r w:rsidR="005C22D1">
        <w:t xml:space="preserve">  </w:t>
      </w:r>
      <w:r w:rsidR="005C22D1">
        <w:rPr>
          <w:noProof/>
        </w:rPr>
        <w:drawing>
          <wp:inline distT="0" distB="0" distL="0" distR="0">
            <wp:extent cx="3328035" cy="2767913"/>
            <wp:effectExtent l="0" t="0" r="5715" b="0"/>
            <wp:docPr id="610959805" name="Picture 17" descr="A graph of a graph showing the growth of tax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9805" name="Picture 17" descr="A graph of a graph showing the growth of tax revenu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670" cy="2780917"/>
                    </a:xfrm>
                    <a:prstGeom prst="rect">
                      <a:avLst/>
                    </a:prstGeom>
                    <a:noFill/>
                    <a:ln>
                      <a:noFill/>
                    </a:ln>
                  </pic:spPr>
                </pic:pic>
              </a:graphicData>
            </a:graphic>
          </wp:inline>
        </w:drawing>
      </w:r>
    </w:p>
    <w:p w:rsidR="00861786" w:rsidRDefault="00861786" w:rsidP="0041528A"/>
    <w:p w:rsidR="00861786" w:rsidRDefault="00861786" w:rsidP="0041528A">
      <w:r>
        <w:rPr>
          <w:noProof/>
        </w:rPr>
        <w:drawing>
          <wp:inline distT="0" distB="0" distL="0" distR="0">
            <wp:extent cx="3179805" cy="2503805"/>
            <wp:effectExtent l="0" t="0" r="1905" b="0"/>
            <wp:docPr id="1895508408" name="Picture 9"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08408" name="Picture 9" descr="A graph with blue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1356" cy="2512901"/>
                    </a:xfrm>
                    <a:prstGeom prst="rect">
                      <a:avLst/>
                    </a:prstGeom>
                    <a:noFill/>
                    <a:ln>
                      <a:noFill/>
                    </a:ln>
                  </pic:spPr>
                </pic:pic>
              </a:graphicData>
            </a:graphic>
          </wp:inline>
        </w:drawing>
      </w:r>
      <w:r w:rsidR="005C22D1">
        <w:t xml:space="preserve">  </w:t>
      </w:r>
      <w:r w:rsidR="005C22D1">
        <w:rPr>
          <w:noProof/>
        </w:rPr>
        <w:drawing>
          <wp:inline distT="0" distB="0" distL="0" distR="0">
            <wp:extent cx="2874645" cy="2520778"/>
            <wp:effectExtent l="0" t="0" r="1905" b="0"/>
            <wp:docPr id="1283800426" name="Picture 18"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0426" name="Picture 18" descr="A graph with blu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277" cy="2538870"/>
                    </a:xfrm>
                    <a:prstGeom prst="rect">
                      <a:avLst/>
                    </a:prstGeom>
                    <a:noFill/>
                    <a:ln>
                      <a:noFill/>
                    </a:ln>
                  </pic:spPr>
                </pic:pic>
              </a:graphicData>
            </a:graphic>
          </wp:inline>
        </w:drawing>
      </w:r>
    </w:p>
    <w:p w:rsidR="00043255" w:rsidRDefault="00043255" w:rsidP="0041528A">
      <w:r>
        <w:rPr>
          <w:noProof/>
        </w:rPr>
        <w:drawing>
          <wp:inline distT="0" distB="0" distL="0" distR="0">
            <wp:extent cx="3138616" cy="2536825"/>
            <wp:effectExtent l="0" t="0" r="5080" b="0"/>
            <wp:docPr id="1194671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313" cy="2549512"/>
                    </a:xfrm>
                    <a:prstGeom prst="rect">
                      <a:avLst/>
                    </a:prstGeom>
                    <a:noFill/>
                    <a:ln>
                      <a:noFill/>
                    </a:ln>
                  </pic:spPr>
                </pic:pic>
              </a:graphicData>
            </a:graphic>
          </wp:inline>
        </w:drawing>
      </w:r>
      <w:r w:rsidR="00A20A13">
        <w:t xml:space="preserve">  </w:t>
      </w:r>
      <w:r w:rsidR="00A20A13">
        <w:rPr>
          <w:noProof/>
        </w:rPr>
        <w:drawing>
          <wp:inline distT="0" distB="0" distL="0" distR="0" wp14:anchorId="507D22B7" wp14:editId="6BA9ACD5">
            <wp:extent cx="3063752" cy="2512540"/>
            <wp:effectExtent l="0" t="0" r="3810" b="2540"/>
            <wp:docPr id="1558145891" name="Picture 14"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45891" name="Picture 14" descr="A graph with red and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486" cy="2530363"/>
                    </a:xfrm>
                    <a:prstGeom prst="rect">
                      <a:avLst/>
                    </a:prstGeom>
                    <a:noFill/>
                    <a:ln>
                      <a:noFill/>
                    </a:ln>
                  </pic:spPr>
                </pic:pic>
              </a:graphicData>
            </a:graphic>
          </wp:inline>
        </w:drawing>
      </w:r>
    </w:p>
    <w:p w:rsidR="00043255" w:rsidRDefault="00043255" w:rsidP="0041528A"/>
    <w:p w:rsidR="00043255" w:rsidRDefault="00A20A13" w:rsidP="0041528A">
      <w:r>
        <w:rPr>
          <w:noProof/>
        </w:rPr>
        <w:lastRenderedPageBreak/>
        <w:drawing>
          <wp:inline distT="0" distB="0" distL="0" distR="0">
            <wp:extent cx="6309360" cy="2611394"/>
            <wp:effectExtent l="0" t="0" r="0" b="0"/>
            <wp:docPr id="15993000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5123" cy="2613779"/>
                    </a:xfrm>
                    <a:prstGeom prst="rect">
                      <a:avLst/>
                    </a:prstGeom>
                    <a:noFill/>
                    <a:ln>
                      <a:noFill/>
                    </a:ln>
                  </pic:spPr>
                </pic:pic>
              </a:graphicData>
            </a:graphic>
          </wp:inline>
        </w:drawing>
      </w:r>
    </w:p>
    <w:p w:rsidR="00A20A13" w:rsidRDefault="00A20A13" w:rsidP="0041528A">
      <w:r w:rsidRPr="00A20A13">
        <w:drawing>
          <wp:inline distT="0" distB="0" distL="0" distR="0" wp14:anchorId="23E008E7" wp14:editId="6E5B6A12">
            <wp:extent cx="6309360" cy="1696720"/>
            <wp:effectExtent l="0" t="0" r="0" b="0"/>
            <wp:docPr id="42630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04512" name=""/>
                    <pic:cNvPicPr/>
                  </pic:nvPicPr>
                  <pic:blipFill>
                    <a:blip r:embed="rId29"/>
                    <a:stretch>
                      <a:fillRect/>
                    </a:stretch>
                  </pic:blipFill>
                  <pic:spPr>
                    <a:xfrm>
                      <a:off x="0" y="0"/>
                      <a:ext cx="6309360" cy="1696720"/>
                    </a:xfrm>
                    <a:prstGeom prst="rect">
                      <a:avLst/>
                    </a:prstGeom>
                  </pic:spPr>
                </pic:pic>
              </a:graphicData>
            </a:graphic>
          </wp:inline>
        </w:drawing>
      </w:r>
    </w:p>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A20A13" w:rsidRDefault="00A20A13" w:rsidP="0041528A"/>
    <w:p w:rsidR="00963B39" w:rsidRPr="00963B39" w:rsidRDefault="00963B39" w:rsidP="00963B39">
      <w:pPr>
        <w:spacing w:before="240" w:after="60" w:line="240" w:lineRule="auto"/>
        <w:jc w:val="center"/>
        <w:outlineLvl w:val="0"/>
        <w:rPr>
          <w:rFonts w:ascii="Times New Roman" w:eastAsia="Times New Roman" w:hAnsi="Times New Roman" w:cs="Times New Roman"/>
          <w:bCs/>
          <w:color w:val="auto"/>
          <w:kern w:val="36"/>
          <w:sz w:val="48"/>
          <w:szCs w:val="48"/>
        </w:rPr>
      </w:pPr>
      <w:r w:rsidRPr="00963B39">
        <w:rPr>
          <w:rFonts w:ascii="Times New Roman" w:eastAsia="Times New Roman" w:hAnsi="Times New Roman" w:cs="Times New Roman"/>
          <w:bCs/>
          <w:color w:val="061F57"/>
          <w:kern w:val="36"/>
          <w:sz w:val="40"/>
          <w:szCs w:val="40"/>
        </w:rPr>
        <w:lastRenderedPageBreak/>
        <w:t>LIMITATION AND NEXT STEPS</w:t>
      </w:r>
    </w:p>
    <w:p w:rsidR="00963B39" w:rsidRPr="00963B39" w:rsidRDefault="00963B39" w:rsidP="00963B39">
      <w:pPr>
        <w:spacing w:line="240" w:lineRule="auto"/>
        <w:rPr>
          <w:rFonts w:ascii="Times New Roman" w:eastAsia="Times New Roman" w:hAnsi="Times New Roman" w:cs="Times New Roman"/>
          <w:b w:val="0"/>
          <w:color w:val="auto"/>
          <w:sz w:val="24"/>
          <w:szCs w:val="24"/>
        </w:rPr>
      </w:pPr>
    </w:p>
    <w:p w:rsidR="00963B39" w:rsidRPr="00963B39" w:rsidRDefault="00963B39" w:rsidP="00963B39">
      <w:pPr>
        <w:spacing w:line="240" w:lineRule="auto"/>
        <w:rPr>
          <w:rFonts w:ascii="Times New Roman" w:eastAsia="Times New Roman" w:hAnsi="Times New Roman" w:cs="Times New Roman"/>
          <w:b w:val="0"/>
          <w:color w:val="auto"/>
          <w:sz w:val="24"/>
          <w:szCs w:val="24"/>
        </w:rPr>
      </w:pPr>
      <w:r w:rsidRPr="00963B39">
        <w:rPr>
          <w:rFonts w:ascii="Calibri" w:eastAsia="Times New Roman" w:hAnsi="Calibri" w:cs="Calibri"/>
          <w:bCs/>
          <w:color w:val="000000"/>
          <w:sz w:val="24"/>
          <w:szCs w:val="24"/>
        </w:rPr>
        <w:t>Classification Inconsistencies (HS Codes)</w:t>
      </w:r>
    </w:p>
    <w:p w:rsidR="00963B39" w:rsidRPr="00963B39" w:rsidRDefault="00963B39" w:rsidP="00963B39">
      <w:pPr>
        <w:numPr>
          <w:ilvl w:val="0"/>
          <w:numId w:val="38"/>
        </w:numPr>
        <w:spacing w:before="240" w:after="240"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Misclassification or broad HS code definitions (e.g., 8528719000) may obscure actual product-level insights, requiring deeper customs data integration.</w:t>
      </w:r>
    </w:p>
    <w:p w:rsidR="00963B39" w:rsidRPr="00963B39" w:rsidRDefault="00963B39" w:rsidP="00963B39">
      <w:pPr>
        <w:spacing w:line="240" w:lineRule="auto"/>
        <w:rPr>
          <w:rFonts w:ascii="Times New Roman" w:eastAsia="Times New Roman" w:hAnsi="Times New Roman" w:cs="Times New Roman"/>
          <w:b w:val="0"/>
          <w:color w:val="auto"/>
          <w:sz w:val="24"/>
          <w:szCs w:val="24"/>
        </w:rPr>
      </w:pPr>
      <w:r w:rsidRPr="00963B39">
        <w:rPr>
          <w:rFonts w:ascii="Calibri" w:eastAsia="Times New Roman" w:hAnsi="Calibri" w:cs="Calibri"/>
          <w:bCs/>
          <w:color w:val="000000"/>
          <w:sz w:val="24"/>
          <w:szCs w:val="24"/>
        </w:rPr>
        <w:t>Assumption of Static Economic Behavior</w:t>
      </w:r>
    </w:p>
    <w:p w:rsidR="00963B39" w:rsidRPr="00963B39" w:rsidRDefault="00963B39" w:rsidP="00963B39">
      <w:pPr>
        <w:numPr>
          <w:ilvl w:val="0"/>
          <w:numId w:val="39"/>
        </w:numPr>
        <w:spacing w:before="240" w:after="240"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Substitution scenarios assume consistent consumer and business behavior, not accounting for potential price, quality, or supply chain barriers.</w:t>
      </w:r>
    </w:p>
    <w:p w:rsidR="00963B39" w:rsidRPr="00963B39" w:rsidRDefault="00963B39" w:rsidP="00963B39">
      <w:pPr>
        <w:spacing w:line="240" w:lineRule="auto"/>
        <w:rPr>
          <w:rFonts w:ascii="Times New Roman" w:eastAsia="Times New Roman" w:hAnsi="Times New Roman" w:cs="Times New Roman"/>
          <w:b w:val="0"/>
          <w:color w:val="auto"/>
          <w:sz w:val="24"/>
          <w:szCs w:val="24"/>
        </w:rPr>
      </w:pPr>
      <w:r w:rsidRPr="00963B39">
        <w:rPr>
          <w:rFonts w:ascii="Calibri" w:eastAsia="Times New Roman" w:hAnsi="Calibri" w:cs="Calibri"/>
          <w:bCs/>
          <w:color w:val="000000"/>
          <w:sz w:val="24"/>
          <w:szCs w:val="24"/>
        </w:rPr>
        <w:t>Limited Access to Supplier Contract Details</w:t>
      </w:r>
    </w:p>
    <w:p w:rsidR="00963B39" w:rsidRPr="00963B39" w:rsidRDefault="00963B39" w:rsidP="00963B39">
      <w:pPr>
        <w:numPr>
          <w:ilvl w:val="0"/>
          <w:numId w:val="40"/>
        </w:numPr>
        <w:spacing w:before="240" w:after="240"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Vendor-level data (e.g., pricing, contract volumes) was not fully available, which may affect precision in fiscal impact estimation.</w:t>
      </w:r>
    </w:p>
    <w:p w:rsidR="00963B39" w:rsidRPr="00963B39" w:rsidRDefault="00963B39" w:rsidP="00963B39">
      <w:pPr>
        <w:spacing w:line="240" w:lineRule="auto"/>
        <w:rPr>
          <w:rFonts w:ascii="Times New Roman" w:eastAsia="Times New Roman" w:hAnsi="Times New Roman" w:cs="Times New Roman"/>
          <w:bCs/>
          <w:color w:val="auto"/>
          <w:sz w:val="24"/>
          <w:szCs w:val="24"/>
        </w:rPr>
      </w:pPr>
      <w:r w:rsidRPr="00963B39">
        <w:rPr>
          <w:rFonts w:ascii="Calibri" w:eastAsia="Times New Roman" w:hAnsi="Calibri" w:cs="Calibri"/>
          <w:bCs/>
          <w:color w:val="000000"/>
          <w:sz w:val="24"/>
          <w:szCs w:val="24"/>
        </w:rPr>
        <w:t>Restricted View of Innovation Ecosystem Readiness</w:t>
      </w:r>
    </w:p>
    <w:p w:rsidR="00963B39" w:rsidRPr="00963B39" w:rsidRDefault="00963B39" w:rsidP="00963B39">
      <w:pPr>
        <w:numPr>
          <w:ilvl w:val="0"/>
          <w:numId w:val="41"/>
        </w:numPr>
        <w:spacing w:before="240" w:after="240"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Innovation fund allocation assumes sectoral readiness and absorptive capacity, which needs verification via local capacity assessments.</w:t>
      </w:r>
    </w:p>
    <w:p w:rsidR="00963B39" w:rsidRPr="00963B39" w:rsidRDefault="00963B39" w:rsidP="00963B39">
      <w:pPr>
        <w:spacing w:before="280" w:after="80" w:line="240" w:lineRule="auto"/>
        <w:outlineLvl w:val="2"/>
        <w:rPr>
          <w:rFonts w:ascii="Times New Roman" w:eastAsia="Times New Roman" w:hAnsi="Times New Roman" w:cs="Times New Roman"/>
          <w:bCs/>
          <w:color w:val="auto"/>
          <w:sz w:val="27"/>
          <w:szCs w:val="27"/>
        </w:rPr>
      </w:pPr>
      <w:r w:rsidRPr="00963B39">
        <w:rPr>
          <w:rFonts w:ascii="Calibri" w:eastAsia="Times New Roman" w:hAnsi="Calibri" w:cs="Calibri"/>
          <w:bCs/>
          <w:color w:val="000000"/>
          <w:sz w:val="26"/>
          <w:szCs w:val="26"/>
        </w:rPr>
        <w:t>Next Steps</w:t>
      </w:r>
    </w:p>
    <w:p w:rsidR="00963B39" w:rsidRPr="00963B39" w:rsidRDefault="00963B39" w:rsidP="00963B39">
      <w:pPr>
        <w:numPr>
          <w:ilvl w:val="0"/>
          <w:numId w:val="42"/>
        </w:numPr>
        <w:spacing w:before="240" w:line="240" w:lineRule="auto"/>
        <w:textAlignment w:val="baseline"/>
        <w:rPr>
          <w:rFonts w:ascii="Calibri" w:eastAsia="Times New Roman" w:hAnsi="Calibri" w:cs="Calibri"/>
          <w:bCs/>
          <w:color w:val="000000"/>
          <w:sz w:val="24"/>
          <w:szCs w:val="24"/>
        </w:rPr>
      </w:pPr>
      <w:r w:rsidRPr="00963B39">
        <w:rPr>
          <w:rFonts w:ascii="Calibri" w:eastAsia="Times New Roman" w:hAnsi="Calibri" w:cs="Calibri"/>
          <w:bCs/>
          <w:color w:val="000000"/>
          <w:sz w:val="24"/>
          <w:szCs w:val="24"/>
        </w:rPr>
        <w:t>Deep-Dive into High-Risk HS Codes</w:t>
      </w:r>
    </w:p>
    <w:p w:rsidR="00963B39" w:rsidRPr="00963B39" w:rsidRDefault="00963B39" w:rsidP="00963B39">
      <w:pPr>
        <w:numPr>
          <w:ilvl w:val="1"/>
          <w:numId w:val="42"/>
        </w:numPr>
        <w:spacing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Conduct detailed compliance reviews and product-level audits for codes like 8544600000 (Conductors) and 8528719000 (Transmission Equipment).</w:t>
      </w:r>
    </w:p>
    <w:p w:rsidR="00963B39" w:rsidRPr="00963B39" w:rsidRDefault="00963B39" w:rsidP="00963B39">
      <w:pPr>
        <w:numPr>
          <w:ilvl w:val="0"/>
          <w:numId w:val="42"/>
        </w:numPr>
        <w:spacing w:line="240" w:lineRule="auto"/>
        <w:textAlignment w:val="baseline"/>
        <w:rPr>
          <w:rFonts w:ascii="Calibri" w:eastAsia="Times New Roman" w:hAnsi="Calibri" w:cs="Calibri"/>
          <w:bCs/>
          <w:color w:val="000000"/>
          <w:sz w:val="24"/>
          <w:szCs w:val="24"/>
        </w:rPr>
      </w:pPr>
      <w:r w:rsidRPr="00963B39">
        <w:rPr>
          <w:rFonts w:ascii="Calibri" w:eastAsia="Times New Roman" w:hAnsi="Calibri" w:cs="Calibri"/>
          <w:bCs/>
          <w:color w:val="000000"/>
          <w:sz w:val="24"/>
          <w:szCs w:val="24"/>
        </w:rPr>
        <w:t>Supplier-Level Analysis</w:t>
      </w:r>
    </w:p>
    <w:p w:rsidR="00963B39" w:rsidRPr="00963B39" w:rsidRDefault="00963B39" w:rsidP="00963B39">
      <w:pPr>
        <w:numPr>
          <w:ilvl w:val="1"/>
          <w:numId w:val="42"/>
        </w:numPr>
        <w:spacing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Expand analysis to include supplier/vendor profiling to identify over-reliance, monopolies, or underperformance.</w:t>
      </w:r>
    </w:p>
    <w:p w:rsidR="00963B39" w:rsidRPr="00963B39" w:rsidRDefault="00963B39" w:rsidP="00963B39">
      <w:pPr>
        <w:numPr>
          <w:ilvl w:val="0"/>
          <w:numId w:val="42"/>
        </w:numPr>
        <w:spacing w:line="240" w:lineRule="auto"/>
        <w:textAlignment w:val="baseline"/>
        <w:rPr>
          <w:rFonts w:ascii="Calibri" w:eastAsia="Times New Roman" w:hAnsi="Calibri" w:cs="Calibri"/>
          <w:bCs/>
          <w:color w:val="000000"/>
          <w:sz w:val="24"/>
          <w:szCs w:val="24"/>
        </w:rPr>
      </w:pPr>
      <w:r w:rsidRPr="00963B39">
        <w:rPr>
          <w:rFonts w:ascii="Calibri" w:eastAsia="Times New Roman" w:hAnsi="Calibri" w:cs="Calibri"/>
          <w:bCs/>
          <w:color w:val="000000"/>
          <w:sz w:val="24"/>
          <w:szCs w:val="24"/>
        </w:rPr>
        <w:t>Local Industry Capability Mapping</w:t>
      </w:r>
    </w:p>
    <w:p w:rsidR="00963B39" w:rsidRPr="00963B39" w:rsidRDefault="00963B39" w:rsidP="00963B39">
      <w:pPr>
        <w:numPr>
          <w:ilvl w:val="1"/>
          <w:numId w:val="42"/>
        </w:numPr>
        <w:spacing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Commission a sectoral readiness study to assess the feasibility of local production for high-priority import categories.</w:t>
      </w:r>
    </w:p>
    <w:p w:rsidR="00963B39" w:rsidRPr="00963B39" w:rsidRDefault="00963B39" w:rsidP="00963B39">
      <w:pPr>
        <w:numPr>
          <w:ilvl w:val="0"/>
          <w:numId w:val="42"/>
        </w:numPr>
        <w:spacing w:line="240" w:lineRule="auto"/>
        <w:textAlignment w:val="baseline"/>
        <w:rPr>
          <w:rFonts w:ascii="Calibri" w:eastAsia="Times New Roman" w:hAnsi="Calibri" w:cs="Calibri"/>
          <w:bCs/>
          <w:color w:val="000000"/>
          <w:sz w:val="24"/>
          <w:szCs w:val="24"/>
        </w:rPr>
      </w:pPr>
      <w:r w:rsidRPr="00963B39">
        <w:rPr>
          <w:rFonts w:ascii="Calibri" w:eastAsia="Times New Roman" w:hAnsi="Calibri" w:cs="Calibri"/>
          <w:bCs/>
          <w:color w:val="000000"/>
          <w:sz w:val="24"/>
          <w:szCs w:val="24"/>
        </w:rPr>
        <w:t>Enhanced Customs-Data Integration</w:t>
      </w:r>
    </w:p>
    <w:p w:rsidR="00963B39" w:rsidRPr="00963B39" w:rsidRDefault="00963B39" w:rsidP="00963B39">
      <w:pPr>
        <w:numPr>
          <w:ilvl w:val="1"/>
          <w:numId w:val="42"/>
        </w:numPr>
        <w:spacing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Collaborate with NCS to improve access to real-time HS code-level, port-level, and exemption classification data.</w:t>
      </w:r>
    </w:p>
    <w:p w:rsidR="00963B39" w:rsidRPr="00963B39" w:rsidRDefault="00963B39" w:rsidP="00963B39">
      <w:pPr>
        <w:numPr>
          <w:ilvl w:val="0"/>
          <w:numId w:val="42"/>
        </w:numPr>
        <w:spacing w:line="240" w:lineRule="auto"/>
        <w:textAlignment w:val="baseline"/>
        <w:rPr>
          <w:rFonts w:ascii="Calibri" w:eastAsia="Times New Roman" w:hAnsi="Calibri" w:cs="Calibri"/>
          <w:bCs/>
          <w:color w:val="000000"/>
          <w:sz w:val="24"/>
          <w:szCs w:val="24"/>
        </w:rPr>
      </w:pPr>
      <w:r w:rsidRPr="00963B39">
        <w:rPr>
          <w:rFonts w:ascii="Calibri" w:eastAsia="Times New Roman" w:hAnsi="Calibri" w:cs="Calibri"/>
          <w:bCs/>
          <w:color w:val="000000"/>
          <w:sz w:val="24"/>
          <w:szCs w:val="24"/>
        </w:rPr>
        <w:t>Set Up a Monitoring &amp; Evaluation (M&amp;E) Framework</w:t>
      </w:r>
    </w:p>
    <w:p w:rsidR="00963B39" w:rsidRDefault="00963B39" w:rsidP="00963B39">
      <w:pPr>
        <w:numPr>
          <w:ilvl w:val="1"/>
          <w:numId w:val="42"/>
        </w:numPr>
        <w:spacing w:after="240" w:line="240" w:lineRule="auto"/>
        <w:textAlignment w:val="baseline"/>
        <w:rPr>
          <w:rFonts w:ascii="Calibri" w:eastAsia="Times New Roman" w:hAnsi="Calibri" w:cs="Calibri"/>
          <w:b w:val="0"/>
          <w:color w:val="000000"/>
          <w:sz w:val="24"/>
          <w:szCs w:val="24"/>
        </w:rPr>
      </w:pPr>
      <w:r w:rsidRPr="00963B39">
        <w:rPr>
          <w:rFonts w:ascii="Calibri" w:eastAsia="Times New Roman" w:hAnsi="Calibri" w:cs="Calibri"/>
          <w:b w:val="0"/>
          <w:color w:val="000000"/>
          <w:sz w:val="24"/>
          <w:szCs w:val="24"/>
        </w:rPr>
        <w:t>Establish a KPI-driven system to track the impact of substitution efforts, fiscal recovery, and job creation in real-time.</w:t>
      </w:r>
    </w:p>
    <w:p w:rsidR="00963B39" w:rsidRDefault="00963B39" w:rsidP="00963B39">
      <w:pPr>
        <w:spacing w:after="240" w:line="240" w:lineRule="auto"/>
        <w:ind w:left="720"/>
        <w:textAlignment w:val="baseline"/>
        <w:rPr>
          <w:rFonts w:ascii="Calibri" w:eastAsia="Times New Roman" w:hAnsi="Calibri" w:cs="Calibri"/>
          <w:b w:val="0"/>
          <w:color w:val="000000"/>
          <w:sz w:val="24"/>
          <w:szCs w:val="24"/>
        </w:rPr>
      </w:pPr>
    </w:p>
    <w:p w:rsidR="00963B39" w:rsidRPr="00963B39" w:rsidRDefault="00963B39" w:rsidP="00963B39">
      <w:pPr>
        <w:spacing w:after="240" w:line="240" w:lineRule="auto"/>
        <w:ind w:left="720"/>
        <w:textAlignment w:val="baseline"/>
        <w:rPr>
          <w:rFonts w:ascii="Calibri" w:eastAsia="Times New Roman" w:hAnsi="Calibri" w:cs="Calibri"/>
          <w:b w:val="0"/>
          <w:color w:val="000000"/>
          <w:sz w:val="24"/>
          <w:szCs w:val="24"/>
        </w:rPr>
      </w:pPr>
    </w:p>
    <w:p w:rsidR="00A20A13" w:rsidRPr="00157389" w:rsidRDefault="00A20A13" w:rsidP="00A20A13">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REFERENCES AND LINKS</w:t>
      </w:r>
    </w:p>
    <w:p w:rsidR="005C22D1" w:rsidRDefault="005C22D1" w:rsidP="0041528A"/>
    <w:p w:rsidR="005C22D1" w:rsidRDefault="00A20A13" w:rsidP="0041528A">
      <w:pPr>
        <w:rPr>
          <w:rFonts w:ascii="Times New Roman" w:eastAsia="Aptos" w:hAnsi="Times New Roman" w:cs="Times New Roman"/>
          <w:b w:val="0"/>
          <w:color w:val="auto"/>
          <w:kern w:val="2"/>
          <w:sz w:val="24"/>
          <w:szCs w:val="24"/>
          <w14:ligatures w14:val="standardContextual"/>
        </w:rPr>
      </w:pPr>
      <w:r>
        <w:rPr>
          <w:rFonts w:ascii="Times New Roman" w:eastAsia="Aptos" w:hAnsi="Times New Roman" w:cs="Times New Roman"/>
          <w:b w:val="0"/>
          <w:color w:val="auto"/>
          <w:kern w:val="2"/>
          <w:sz w:val="24"/>
          <w:szCs w:val="24"/>
          <w14:ligatures w14:val="standardContextual"/>
        </w:rPr>
        <w:t xml:space="preserve">GITHUB: </w:t>
      </w:r>
      <w:hyperlink r:id="rId30" w:history="1">
        <w:r w:rsidRPr="00953346">
          <w:rPr>
            <w:rStyle w:val="Hyperlink"/>
            <w:rFonts w:ascii="Times New Roman" w:eastAsia="Aptos" w:hAnsi="Times New Roman" w:cs="Times New Roman"/>
            <w:b w:val="0"/>
            <w:kern w:val="2"/>
            <w:sz w:val="24"/>
            <w:szCs w:val="24"/>
            <w14:ligatures w14:val="standardContextual"/>
          </w:rPr>
          <w:t>https://github.com/nifemifaith07/ZTH_Reform_Analytics_Hackathon.git</w:t>
        </w:r>
      </w:hyperlink>
    </w:p>
    <w:p w:rsidR="00A20A13" w:rsidRPr="00A20A13" w:rsidRDefault="00A20A13" w:rsidP="0041528A">
      <w:pPr>
        <w:rPr>
          <w:rFonts w:ascii="Times New Roman" w:eastAsia="Aptos" w:hAnsi="Times New Roman" w:cs="Times New Roman"/>
          <w:b w:val="0"/>
          <w:color w:val="auto"/>
          <w:kern w:val="2"/>
          <w:sz w:val="22"/>
          <w14:ligatures w14:val="standardContextual"/>
        </w:rPr>
      </w:pPr>
      <w:r>
        <w:rPr>
          <w:rFonts w:ascii="Times New Roman" w:eastAsia="Aptos" w:hAnsi="Times New Roman" w:cs="Times New Roman"/>
          <w:b w:val="0"/>
          <w:color w:val="auto"/>
          <w:kern w:val="2"/>
          <w:sz w:val="24"/>
          <w:szCs w:val="24"/>
          <w14:ligatures w14:val="standardContextual"/>
        </w:rPr>
        <w:t xml:space="preserve">DRIVE: </w:t>
      </w:r>
      <w:hyperlink r:id="rId31" w:history="1">
        <w:r w:rsidRPr="00A20A13">
          <w:rPr>
            <w:rStyle w:val="Hyperlink"/>
            <w:rFonts w:ascii="Times New Roman" w:eastAsia="Aptos" w:hAnsi="Times New Roman" w:cs="Times New Roman"/>
            <w:b w:val="0"/>
            <w:kern w:val="2"/>
            <w:sz w:val="22"/>
            <w14:ligatures w14:val="standardContextual"/>
          </w:rPr>
          <w:t>https://drive.google.com/drive/folders/1KH0RgM0lzzHW_j7V8E6WdBoQLuYCz_tU?usp=drive_link</w:t>
        </w:r>
      </w:hyperlink>
    </w:p>
    <w:p w:rsidR="00A20A13" w:rsidRDefault="00A20A13" w:rsidP="0041528A">
      <w:pPr>
        <w:rPr>
          <w:rFonts w:ascii="Times New Roman" w:eastAsia="Aptos" w:hAnsi="Times New Roman" w:cs="Times New Roman"/>
          <w:b w:val="0"/>
          <w:color w:val="auto"/>
          <w:kern w:val="2"/>
          <w:sz w:val="24"/>
          <w:szCs w:val="24"/>
          <w14:ligatures w14:val="standardContextual"/>
        </w:rPr>
      </w:pPr>
      <w:r>
        <w:rPr>
          <w:rFonts w:ascii="Times New Roman" w:eastAsia="Aptos" w:hAnsi="Times New Roman" w:cs="Times New Roman"/>
          <w:b w:val="0"/>
          <w:color w:val="auto"/>
          <w:kern w:val="2"/>
          <w:sz w:val="24"/>
          <w:szCs w:val="24"/>
          <w14:ligatures w14:val="standardContextual"/>
        </w:rPr>
        <w:t xml:space="preserve">POWERBI: </w:t>
      </w:r>
      <w:hyperlink r:id="rId32" w:history="1">
        <w:r w:rsidRPr="00953346">
          <w:rPr>
            <w:rStyle w:val="Hyperlink"/>
            <w:rFonts w:ascii="Times New Roman" w:eastAsia="Aptos" w:hAnsi="Times New Roman" w:cs="Times New Roman"/>
            <w:b w:val="0"/>
            <w:kern w:val="2"/>
            <w:sz w:val="24"/>
            <w:szCs w:val="24"/>
            <w14:ligatures w14:val="standardContextual"/>
          </w:rPr>
          <w:t>https://app.powerbi.com/links/n0ziMDLWbP?ctid=66b3f0c2-8bc6-451e-9603-986f618ae682&amp;pbi_source=linkShare</w:t>
        </w:r>
      </w:hyperlink>
      <w:r>
        <w:rPr>
          <w:rFonts w:ascii="Times New Roman" w:eastAsia="Aptos" w:hAnsi="Times New Roman" w:cs="Times New Roman"/>
          <w:b w:val="0"/>
          <w:color w:val="auto"/>
          <w:kern w:val="2"/>
          <w:sz w:val="24"/>
          <w:szCs w:val="24"/>
          <w14:ligatures w14:val="standardContextual"/>
        </w:rPr>
        <w:t xml:space="preserve"> </w:t>
      </w:r>
    </w:p>
    <w:p w:rsidR="00A20A13" w:rsidRDefault="00A20A13" w:rsidP="0041528A">
      <w:pPr>
        <w:rPr>
          <w:rFonts w:ascii="Times New Roman" w:eastAsia="Aptos" w:hAnsi="Times New Roman" w:cs="Times New Roman"/>
          <w:b w:val="0"/>
          <w:color w:val="auto"/>
          <w:kern w:val="2"/>
          <w:sz w:val="24"/>
          <w:szCs w:val="24"/>
          <w14:ligatures w14:val="standardContextual"/>
        </w:rPr>
      </w:pPr>
      <w:r>
        <w:rPr>
          <w:rFonts w:ascii="Times New Roman" w:eastAsia="Aptos" w:hAnsi="Times New Roman" w:cs="Times New Roman"/>
          <w:b w:val="0"/>
          <w:color w:val="auto"/>
          <w:kern w:val="2"/>
          <w:sz w:val="24"/>
          <w:szCs w:val="24"/>
          <w14:ligatures w14:val="standardContextual"/>
        </w:rPr>
        <w:t xml:space="preserve">NOTEBOOK: </w:t>
      </w:r>
      <w:hyperlink r:id="rId33" w:history="1">
        <w:r w:rsidRPr="00953346">
          <w:rPr>
            <w:rStyle w:val="Hyperlink"/>
            <w:rFonts w:ascii="Times New Roman" w:eastAsia="Aptos" w:hAnsi="Times New Roman" w:cs="Times New Roman"/>
            <w:b w:val="0"/>
            <w:kern w:val="2"/>
            <w:sz w:val="24"/>
            <w:szCs w:val="24"/>
            <w14:ligatures w14:val="standardContextual"/>
          </w:rPr>
          <w:t>https://colab.research.google.com/drive/1RyCaCtG7I-S0wTNKjfLj-rzrC_jjoW-y</w:t>
        </w:r>
      </w:hyperlink>
    </w:p>
    <w:p w:rsidR="00A20A13" w:rsidRPr="00963B39" w:rsidRDefault="00A20A13" w:rsidP="0041528A">
      <w:pPr>
        <w:rPr>
          <w:rFonts w:ascii="Times New Roman" w:eastAsia="Aptos" w:hAnsi="Times New Roman" w:cs="Times New Roman"/>
          <w:b w:val="0"/>
          <w:color w:val="auto"/>
          <w:kern w:val="2"/>
          <w:sz w:val="24"/>
          <w:szCs w:val="24"/>
          <w14:ligatures w14:val="standardContextual"/>
        </w:rPr>
      </w:pPr>
      <w:r>
        <w:rPr>
          <w:rFonts w:ascii="Times New Roman" w:eastAsia="Aptos" w:hAnsi="Times New Roman" w:cs="Times New Roman"/>
          <w:b w:val="0"/>
          <w:color w:val="auto"/>
          <w:kern w:val="2"/>
          <w:sz w:val="24"/>
          <w:szCs w:val="24"/>
          <w14:ligatures w14:val="standardContextual"/>
        </w:rPr>
        <w:t xml:space="preserve">TRADE PORTAL: </w:t>
      </w:r>
      <w:hyperlink r:id="rId34" w:history="1">
        <w:r w:rsidRPr="00953346">
          <w:rPr>
            <w:rStyle w:val="Hyperlink"/>
            <w:rFonts w:ascii="Times New Roman" w:eastAsia="Aptos" w:hAnsi="Times New Roman" w:cs="Times New Roman"/>
            <w:b w:val="0"/>
            <w:kern w:val="2"/>
            <w:sz w:val="24"/>
            <w:szCs w:val="24"/>
            <w14:ligatures w14:val="standardContextual"/>
          </w:rPr>
          <w:t>https://trade.gov.ng/en/downloads</w:t>
        </w:r>
      </w:hyperlink>
      <w:r>
        <w:rPr>
          <w:rFonts w:ascii="Times New Roman" w:eastAsia="Aptos" w:hAnsi="Times New Roman" w:cs="Times New Roman"/>
          <w:b w:val="0"/>
          <w:color w:val="auto"/>
          <w:kern w:val="2"/>
          <w:sz w:val="24"/>
          <w:szCs w:val="24"/>
          <w14:ligatures w14:val="standardContextual"/>
        </w:rPr>
        <w:t xml:space="preserve"> </w:t>
      </w:r>
    </w:p>
    <w:sectPr w:rsidR="00A20A13" w:rsidRPr="00963B39"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4DAC" w:rsidRDefault="005E4DAC">
      <w:r>
        <w:separator/>
      </w:r>
    </w:p>
    <w:p w:rsidR="005E4DAC" w:rsidRDefault="005E4DAC"/>
  </w:endnote>
  <w:endnote w:type="continuationSeparator" w:id="0">
    <w:p w:rsidR="005E4DAC" w:rsidRDefault="005E4DAC">
      <w:r>
        <w:continuationSeparator/>
      </w:r>
    </w:p>
    <w:p w:rsidR="005E4DAC" w:rsidRDefault="005E4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4DAC" w:rsidRDefault="005E4DAC">
      <w:r>
        <w:separator/>
      </w:r>
    </w:p>
    <w:p w:rsidR="005E4DAC" w:rsidRDefault="005E4DAC"/>
  </w:footnote>
  <w:footnote w:type="continuationSeparator" w:id="0">
    <w:p w:rsidR="005E4DAC" w:rsidRDefault="005E4DAC">
      <w:r>
        <w:continuationSeparator/>
      </w:r>
    </w:p>
    <w:p w:rsidR="005E4DAC" w:rsidRDefault="005E4D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73A66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904ED"/>
    <w:multiLevelType w:val="multilevel"/>
    <w:tmpl w:val="2F6C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513AD"/>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9683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731E9"/>
    <w:multiLevelType w:val="multilevel"/>
    <w:tmpl w:val="CD92F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B5AF0"/>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24F9F"/>
    <w:multiLevelType w:val="multilevel"/>
    <w:tmpl w:val="B44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015F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63AD1"/>
    <w:multiLevelType w:val="multilevel"/>
    <w:tmpl w:val="611C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E5448"/>
    <w:multiLevelType w:val="multilevel"/>
    <w:tmpl w:val="49EC3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F07CBA"/>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75B5C"/>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06468"/>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977B2"/>
    <w:multiLevelType w:val="multilevel"/>
    <w:tmpl w:val="855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300E8"/>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05AF7"/>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815E0"/>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D74FD"/>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E728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86048"/>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A0C2B"/>
    <w:multiLevelType w:val="multilevel"/>
    <w:tmpl w:val="F272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44397"/>
    <w:multiLevelType w:val="multilevel"/>
    <w:tmpl w:val="6FA6BC5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64824"/>
    <w:multiLevelType w:val="multilevel"/>
    <w:tmpl w:val="A6C0AD9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F94D2A"/>
    <w:multiLevelType w:val="multilevel"/>
    <w:tmpl w:val="F126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91380"/>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80305"/>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606A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54AFE"/>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0379B5"/>
    <w:multiLevelType w:val="multilevel"/>
    <w:tmpl w:val="CA64F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1C3FF7"/>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38646C"/>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DD575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067F6"/>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26DE7"/>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0209D"/>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B78D0"/>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A3220C"/>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8F753D"/>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97E52"/>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77125"/>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572D6"/>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C823DC"/>
    <w:multiLevelType w:val="multilevel"/>
    <w:tmpl w:val="F8F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0273467">
    <w:abstractNumId w:val="14"/>
  </w:num>
  <w:num w:numId="2" w16cid:durableId="1700666684">
    <w:abstractNumId w:val="8"/>
  </w:num>
  <w:num w:numId="3" w16cid:durableId="1043409776">
    <w:abstractNumId w:val="23"/>
  </w:num>
  <w:num w:numId="4" w16cid:durableId="2094549461">
    <w:abstractNumId w:val="13"/>
  </w:num>
  <w:num w:numId="5" w16cid:durableId="1969847664">
    <w:abstractNumId w:val="20"/>
  </w:num>
  <w:num w:numId="6" w16cid:durableId="552624534">
    <w:abstractNumId w:val="1"/>
  </w:num>
  <w:num w:numId="7" w16cid:durableId="1704402388">
    <w:abstractNumId w:val="6"/>
  </w:num>
  <w:num w:numId="8" w16cid:durableId="1736735844">
    <w:abstractNumId w:val="19"/>
  </w:num>
  <w:num w:numId="9" w16cid:durableId="1593507916">
    <w:abstractNumId w:val="0"/>
  </w:num>
  <w:num w:numId="10" w16cid:durableId="197158104">
    <w:abstractNumId w:val="7"/>
  </w:num>
  <w:num w:numId="11" w16cid:durableId="1466505073">
    <w:abstractNumId w:val="36"/>
  </w:num>
  <w:num w:numId="12" w16cid:durableId="474877136">
    <w:abstractNumId w:val="29"/>
  </w:num>
  <w:num w:numId="13" w16cid:durableId="1884904505">
    <w:abstractNumId w:val="37"/>
  </w:num>
  <w:num w:numId="14" w16cid:durableId="1498883366">
    <w:abstractNumId w:val="16"/>
  </w:num>
  <w:num w:numId="15" w16cid:durableId="501972387">
    <w:abstractNumId w:val="4"/>
  </w:num>
  <w:num w:numId="16" w16cid:durableId="581526214">
    <w:abstractNumId w:val="32"/>
  </w:num>
  <w:num w:numId="17" w16cid:durableId="685710472">
    <w:abstractNumId w:val="12"/>
  </w:num>
  <w:num w:numId="18" w16cid:durableId="343292030">
    <w:abstractNumId w:val="26"/>
  </w:num>
  <w:num w:numId="19" w16cid:durableId="69275916">
    <w:abstractNumId w:val="2"/>
  </w:num>
  <w:num w:numId="20" w16cid:durableId="253444969">
    <w:abstractNumId w:val="11"/>
  </w:num>
  <w:num w:numId="21" w16cid:durableId="762265546">
    <w:abstractNumId w:val="27"/>
  </w:num>
  <w:num w:numId="22" w16cid:durableId="1443066593">
    <w:abstractNumId w:val="41"/>
  </w:num>
  <w:num w:numId="23" w16cid:durableId="219559390">
    <w:abstractNumId w:val="33"/>
  </w:num>
  <w:num w:numId="24" w16cid:durableId="332803126">
    <w:abstractNumId w:val="25"/>
  </w:num>
  <w:num w:numId="25" w16cid:durableId="1219972119">
    <w:abstractNumId w:val="24"/>
  </w:num>
  <w:num w:numId="26" w16cid:durableId="475873250">
    <w:abstractNumId w:val="31"/>
  </w:num>
  <w:num w:numId="27" w16cid:durableId="1792936577">
    <w:abstractNumId w:val="38"/>
  </w:num>
  <w:num w:numId="28" w16cid:durableId="1912345414">
    <w:abstractNumId w:val="15"/>
  </w:num>
  <w:num w:numId="29" w16cid:durableId="648437395">
    <w:abstractNumId w:val="39"/>
  </w:num>
  <w:num w:numId="30" w16cid:durableId="127165721">
    <w:abstractNumId w:val="3"/>
  </w:num>
  <w:num w:numId="31" w16cid:durableId="1674409594">
    <w:abstractNumId w:val="40"/>
  </w:num>
  <w:num w:numId="32" w16cid:durableId="1522433986">
    <w:abstractNumId w:val="17"/>
  </w:num>
  <w:num w:numId="33" w16cid:durableId="1797870346">
    <w:abstractNumId w:val="5"/>
  </w:num>
  <w:num w:numId="34" w16cid:durableId="614216192">
    <w:abstractNumId w:val="35"/>
  </w:num>
  <w:num w:numId="35" w16cid:durableId="1075055260">
    <w:abstractNumId w:val="28"/>
  </w:num>
  <w:num w:numId="36" w16cid:durableId="1017776294">
    <w:abstractNumId w:val="22"/>
  </w:num>
  <w:num w:numId="37" w16cid:durableId="168908521">
    <w:abstractNumId w:val="21"/>
  </w:num>
  <w:num w:numId="38" w16cid:durableId="629675121">
    <w:abstractNumId w:val="18"/>
  </w:num>
  <w:num w:numId="39" w16cid:durableId="1643391377">
    <w:abstractNumId w:val="34"/>
  </w:num>
  <w:num w:numId="40" w16cid:durableId="1433622781">
    <w:abstractNumId w:val="30"/>
  </w:num>
  <w:num w:numId="41" w16cid:durableId="1314141694">
    <w:abstractNumId w:val="10"/>
  </w:num>
  <w:num w:numId="42" w16cid:durableId="13651289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82"/>
    <w:rsid w:val="0002482E"/>
    <w:rsid w:val="00043255"/>
    <w:rsid w:val="00050324"/>
    <w:rsid w:val="000A0150"/>
    <w:rsid w:val="000E63C9"/>
    <w:rsid w:val="00130E9D"/>
    <w:rsid w:val="00150A6D"/>
    <w:rsid w:val="00157389"/>
    <w:rsid w:val="00185B35"/>
    <w:rsid w:val="001F2BC8"/>
    <w:rsid w:val="001F5F6B"/>
    <w:rsid w:val="00243EBC"/>
    <w:rsid w:val="00246A35"/>
    <w:rsid w:val="00284348"/>
    <w:rsid w:val="002F1E96"/>
    <w:rsid w:val="002F51F5"/>
    <w:rsid w:val="00312137"/>
    <w:rsid w:val="00330359"/>
    <w:rsid w:val="0033762F"/>
    <w:rsid w:val="00366C7E"/>
    <w:rsid w:val="00384EA3"/>
    <w:rsid w:val="003A39A1"/>
    <w:rsid w:val="003C2191"/>
    <w:rsid w:val="003D3863"/>
    <w:rsid w:val="003F079B"/>
    <w:rsid w:val="004110DE"/>
    <w:rsid w:val="0041528A"/>
    <w:rsid w:val="0044085A"/>
    <w:rsid w:val="004478BF"/>
    <w:rsid w:val="004B21A5"/>
    <w:rsid w:val="005037F0"/>
    <w:rsid w:val="00516A86"/>
    <w:rsid w:val="005275F6"/>
    <w:rsid w:val="00572102"/>
    <w:rsid w:val="005C22D1"/>
    <w:rsid w:val="005D2DCF"/>
    <w:rsid w:val="005D566D"/>
    <w:rsid w:val="005E4DAC"/>
    <w:rsid w:val="005F1BB0"/>
    <w:rsid w:val="00656C4D"/>
    <w:rsid w:val="006E5716"/>
    <w:rsid w:val="007302B3"/>
    <w:rsid w:val="00730733"/>
    <w:rsid w:val="00730E3A"/>
    <w:rsid w:val="00736AAF"/>
    <w:rsid w:val="00765B2A"/>
    <w:rsid w:val="00783A34"/>
    <w:rsid w:val="007C6B52"/>
    <w:rsid w:val="007D16C5"/>
    <w:rsid w:val="00861786"/>
    <w:rsid w:val="00862FE4"/>
    <w:rsid w:val="0086389A"/>
    <w:rsid w:val="008677F8"/>
    <w:rsid w:val="0087605E"/>
    <w:rsid w:val="008B1FEE"/>
    <w:rsid w:val="00903C32"/>
    <w:rsid w:val="00916B16"/>
    <w:rsid w:val="009173B9"/>
    <w:rsid w:val="0093335D"/>
    <w:rsid w:val="0093613E"/>
    <w:rsid w:val="00943026"/>
    <w:rsid w:val="00963B39"/>
    <w:rsid w:val="00966B81"/>
    <w:rsid w:val="009C7720"/>
    <w:rsid w:val="009F3045"/>
    <w:rsid w:val="00A20A13"/>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67B39"/>
    <w:rsid w:val="00E81B40"/>
    <w:rsid w:val="00EF555B"/>
    <w:rsid w:val="00F027BB"/>
    <w:rsid w:val="00F11DCF"/>
    <w:rsid w:val="00F162EA"/>
    <w:rsid w:val="00F52382"/>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412C"/>
  <w15:docId w15:val="{98A5E3A5-030D-4B93-8190-E1FDC634F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2F1E96"/>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5D566D"/>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157389"/>
    <w:pPr>
      <w:ind w:left="720"/>
      <w:contextualSpacing/>
    </w:pPr>
  </w:style>
  <w:style w:type="paragraph" w:styleId="ListBullet">
    <w:name w:val="List Bullet"/>
    <w:basedOn w:val="Normal"/>
    <w:uiPriority w:val="99"/>
    <w:unhideWhenUsed/>
    <w:rsid w:val="00157389"/>
    <w:pPr>
      <w:numPr>
        <w:numId w:val="9"/>
      </w:numPr>
      <w:spacing w:after="200"/>
      <w:contextualSpacing/>
    </w:pPr>
    <w:rPr>
      <w:rFonts w:ascii="Calibri" w:hAnsi="Calibri"/>
      <w:b w:val="0"/>
      <w:color w:val="auto"/>
      <w:sz w:val="22"/>
    </w:rPr>
  </w:style>
  <w:style w:type="character" w:customStyle="1" w:styleId="Heading3Char">
    <w:name w:val="Heading 3 Char"/>
    <w:basedOn w:val="DefaultParagraphFont"/>
    <w:link w:val="Heading3"/>
    <w:uiPriority w:val="5"/>
    <w:semiHidden/>
    <w:rsid w:val="002F1E96"/>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5D566D"/>
    <w:rPr>
      <w:rFonts w:asciiTheme="majorHAnsi" w:eastAsiaTheme="majorEastAsia" w:hAnsiTheme="majorHAnsi" w:cstheme="majorBidi"/>
      <w:b/>
      <w:i/>
      <w:iCs/>
      <w:color w:val="013A57" w:themeColor="accent1" w:themeShade="BF"/>
      <w:sz w:val="28"/>
      <w:szCs w:val="22"/>
    </w:rPr>
  </w:style>
  <w:style w:type="character" w:styleId="Hyperlink">
    <w:name w:val="Hyperlink"/>
    <w:basedOn w:val="DefaultParagraphFont"/>
    <w:uiPriority w:val="99"/>
    <w:unhideWhenUsed/>
    <w:rsid w:val="00A20A13"/>
    <w:rPr>
      <w:color w:val="3592CF" w:themeColor="hyperlink"/>
      <w:u w:val="single"/>
    </w:rPr>
  </w:style>
  <w:style w:type="character" w:styleId="UnresolvedMention">
    <w:name w:val="Unresolved Mention"/>
    <w:basedOn w:val="DefaultParagraphFont"/>
    <w:uiPriority w:val="99"/>
    <w:semiHidden/>
    <w:unhideWhenUsed/>
    <w:rsid w:val="00A20A13"/>
    <w:rPr>
      <w:color w:val="605E5C"/>
      <w:shd w:val="clear" w:color="auto" w:fill="E1DFDD"/>
    </w:rPr>
  </w:style>
  <w:style w:type="paragraph" w:styleId="NormalWeb">
    <w:name w:val="Normal (Web)"/>
    <w:basedOn w:val="Normal"/>
    <w:uiPriority w:val="99"/>
    <w:semiHidden/>
    <w:unhideWhenUsed/>
    <w:rsid w:val="00963B3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5146">
      <w:bodyDiv w:val="1"/>
      <w:marLeft w:val="0"/>
      <w:marRight w:val="0"/>
      <w:marTop w:val="0"/>
      <w:marBottom w:val="0"/>
      <w:divBdr>
        <w:top w:val="none" w:sz="0" w:space="0" w:color="auto"/>
        <w:left w:val="none" w:sz="0" w:space="0" w:color="auto"/>
        <w:bottom w:val="none" w:sz="0" w:space="0" w:color="auto"/>
        <w:right w:val="none" w:sz="0" w:space="0" w:color="auto"/>
      </w:divBdr>
    </w:div>
    <w:div w:id="111290250">
      <w:bodyDiv w:val="1"/>
      <w:marLeft w:val="0"/>
      <w:marRight w:val="0"/>
      <w:marTop w:val="0"/>
      <w:marBottom w:val="0"/>
      <w:divBdr>
        <w:top w:val="none" w:sz="0" w:space="0" w:color="auto"/>
        <w:left w:val="none" w:sz="0" w:space="0" w:color="auto"/>
        <w:bottom w:val="none" w:sz="0" w:space="0" w:color="auto"/>
        <w:right w:val="none" w:sz="0" w:space="0" w:color="auto"/>
      </w:divBdr>
    </w:div>
    <w:div w:id="116721692">
      <w:bodyDiv w:val="1"/>
      <w:marLeft w:val="0"/>
      <w:marRight w:val="0"/>
      <w:marTop w:val="0"/>
      <w:marBottom w:val="0"/>
      <w:divBdr>
        <w:top w:val="none" w:sz="0" w:space="0" w:color="auto"/>
        <w:left w:val="none" w:sz="0" w:space="0" w:color="auto"/>
        <w:bottom w:val="none" w:sz="0" w:space="0" w:color="auto"/>
        <w:right w:val="none" w:sz="0" w:space="0" w:color="auto"/>
      </w:divBdr>
    </w:div>
    <w:div w:id="156577354">
      <w:bodyDiv w:val="1"/>
      <w:marLeft w:val="0"/>
      <w:marRight w:val="0"/>
      <w:marTop w:val="0"/>
      <w:marBottom w:val="0"/>
      <w:divBdr>
        <w:top w:val="none" w:sz="0" w:space="0" w:color="auto"/>
        <w:left w:val="none" w:sz="0" w:space="0" w:color="auto"/>
        <w:bottom w:val="none" w:sz="0" w:space="0" w:color="auto"/>
        <w:right w:val="none" w:sz="0" w:space="0" w:color="auto"/>
      </w:divBdr>
    </w:div>
    <w:div w:id="207566776">
      <w:bodyDiv w:val="1"/>
      <w:marLeft w:val="0"/>
      <w:marRight w:val="0"/>
      <w:marTop w:val="0"/>
      <w:marBottom w:val="0"/>
      <w:divBdr>
        <w:top w:val="none" w:sz="0" w:space="0" w:color="auto"/>
        <w:left w:val="none" w:sz="0" w:space="0" w:color="auto"/>
        <w:bottom w:val="none" w:sz="0" w:space="0" w:color="auto"/>
        <w:right w:val="none" w:sz="0" w:space="0" w:color="auto"/>
      </w:divBdr>
    </w:div>
    <w:div w:id="276839639">
      <w:bodyDiv w:val="1"/>
      <w:marLeft w:val="0"/>
      <w:marRight w:val="0"/>
      <w:marTop w:val="0"/>
      <w:marBottom w:val="0"/>
      <w:divBdr>
        <w:top w:val="none" w:sz="0" w:space="0" w:color="auto"/>
        <w:left w:val="none" w:sz="0" w:space="0" w:color="auto"/>
        <w:bottom w:val="none" w:sz="0" w:space="0" w:color="auto"/>
        <w:right w:val="none" w:sz="0" w:space="0" w:color="auto"/>
      </w:divBdr>
    </w:div>
    <w:div w:id="385644483">
      <w:bodyDiv w:val="1"/>
      <w:marLeft w:val="0"/>
      <w:marRight w:val="0"/>
      <w:marTop w:val="0"/>
      <w:marBottom w:val="0"/>
      <w:divBdr>
        <w:top w:val="none" w:sz="0" w:space="0" w:color="auto"/>
        <w:left w:val="none" w:sz="0" w:space="0" w:color="auto"/>
        <w:bottom w:val="none" w:sz="0" w:space="0" w:color="auto"/>
        <w:right w:val="none" w:sz="0" w:space="0" w:color="auto"/>
      </w:divBdr>
    </w:div>
    <w:div w:id="388697487">
      <w:bodyDiv w:val="1"/>
      <w:marLeft w:val="0"/>
      <w:marRight w:val="0"/>
      <w:marTop w:val="0"/>
      <w:marBottom w:val="0"/>
      <w:divBdr>
        <w:top w:val="none" w:sz="0" w:space="0" w:color="auto"/>
        <w:left w:val="none" w:sz="0" w:space="0" w:color="auto"/>
        <w:bottom w:val="none" w:sz="0" w:space="0" w:color="auto"/>
        <w:right w:val="none" w:sz="0" w:space="0" w:color="auto"/>
      </w:divBdr>
    </w:div>
    <w:div w:id="400912394">
      <w:bodyDiv w:val="1"/>
      <w:marLeft w:val="0"/>
      <w:marRight w:val="0"/>
      <w:marTop w:val="0"/>
      <w:marBottom w:val="0"/>
      <w:divBdr>
        <w:top w:val="none" w:sz="0" w:space="0" w:color="auto"/>
        <w:left w:val="none" w:sz="0" w:space="0" w:color="auto"/>
        <w:bottom w:val="none" w:sz="0" w:space="0" w:color="auto"/>
        <w:right w:val="none" w:sz="0" w:space="0" w:color="auto"/>
      </w:divBdr>
    </w:div>
    <w:div w:id="434785337">
      <w:bodyDiv w:val="1"/>
      <w:marLeft w:val="0"/>
      <w:marRight w:val="0"/>
      <w:marTop w:val="0"/>
      <w:marBottom w:val="0"/>
      <w:divBdr>
        <w:top w:val="none" w:sz="0" w:space="0" w:color="auto"/>
        <w:left w:val="none" w:sz="0" w:space="0" w:color="auto"/>
        <w:bottom w:val="none" w:sz="0" w:space="0" w:color="auto"/>
        <w:right w:val="none" w:sz="0" w:space="0" w:color="auto"/>
      </w:divBdr>
    </w:div>
    <w:div w:id="458645859">
      <w:bodyDiv w:val="1"/>
      <w:marLeft w:val="0"/>
      <w:marRight w:val="0"/>
      <w:marTop w:val="0"/>
      <w:marBottom w:val="0"/>
      <w:divBdr>
        <w:top w:val="none" w:sz="0" w:space="0" w:color="auto"/>
        <w:left w:val="none" w:sz="0" w:space="0" w:color="auto"/>
        <w:bottom w:val="none" w:sz="0" w:space="0" w:color="auto"/>
        <w:right w:val="none" w:sz="0" w:space="0" w:color="auto"/>
      </w:divBdr>
    </w:div>
    <w:div w:id="707490322">
      <w:bodyDiv w:val="1"/>
      <w:marLeft w:val="0"/>
      <w:marRight w:val="0"/>
      <w:marTop w:val="0"/>
      <w:marBottom w:val="0"/>
      <w:divBdr>
        <w:top w:val="none" w:sz="0" w:space="0" w:color="auto"/>
        <w:left w:val="none" w:sz="0" w:space="0" w:color="auto"/>
        <w:bottom w:val="none" w:sz="0" w:space="0" w:color="auto"/>
        <w:right w:val="none" w:sz="0" w:space="0" w:color="auto"/>
      </w:divBdr>
    </w:div>
    <w:div w:id="823204764">
      <w:bodyDiv w:val="1"/>
      <w:marLeft w:val="0"/>
      <w:marRight w:val="0"/>
      <w:marTop w:val="0"/>
      <w:marBottom w:val="0"/>
      <w:divBdr>
        <w:top w:val="none" w:sz="0" w:space="0" w:color="auto"/>
        <w:left w:val="none" w:sz="0" w:space="0" w:color="auto"/>
        <w:bottom w:val="none" w:sz="0" w:space="0" w:color="auto"/>
        <w:right w:val="none" w:sz="0" w:space="0" w:color="auto"/>
      </w:divBdr>
    </w:div>
    <w:div w:id="832139676">
      <w:bodyDiv w:val="1"/>
      <w:marLeft w:val="0"/>
      <w:marRight w:val="0"/>
      <w:marTop w:val="0"/>
      <w:marBottom w:val="0"/>
      <w:divBdr>
        <w:top w:val="none" w:sz="0" w:space="0" w:color="auto"/>
        <w:left w:val="none" w:sz="0" w:space="0" w:color="auto"/>
        <w:bottom w:val="none" w:sz="0" w:space="0" w:color="auto"/>
        <w:right w:val="none" w:sz="0" w:space="0" w:color="auto"/>
      </w:divBdr>
    </w:div>
    <w:div w:id="929659810">
      <w:bodyDiv w:val="1"/>
      <w:marLeft w:val="0"/>
      <w:marRight w:val="0"/>
      <w:marTop w:val="0"/>
      <w:marBottom w:val="0"/>
      <w:divBdr>
        <w:top w:val="none" w:sz="0" w:space="0" w:color="auto"/>
        <w:left w:val="none" w:sz="0" w:space="0" w:color="auto"/>
        <w:bottom w:val="none" w:sz="0" w:space="0" w:color="auto"/>
        <w:right w:val="none" w:sz="0" w:space="0" w:color="auto"/>
      </w:divBdr>
    </w:div>
    <w:div w:id="974061652">
      <w:bodyDiv w:val="1"/>
      <w:marLeft w:val="0"/>
      <w:marRight w:val="0"/>
      <w:marTop w:val="0"/>
      <w:marBottom w:val="0"/>
      <w:divBdr>
        <w:top w:val="none" w:sz="0" w:space="0" w:color="auto"/>
        <w:left w:val="none" w:sz="0" w:space="0" w:color="auto"/>
        <w:bottom w:val="none" w:sz="0" w:space="0" w:color="auto"/>
        <w:right w:val="none" w:sz="0" w:space="0" w:color="auto"/>
      </w:divBdr>
    </w:div>
    <w:div w:id="1089280106">
      <w:bodyDiv w:val="1"/>
      <w:marLeft w:val="0"/>
      <w:marRight w:val="0"/>
      <w:marTop w:val="0"/>
      <w:marBottom w:val="0"/>
      <w:divBdr>
        <w:top w:val="none" w:sz="0" w:space="0" w:color="auto"/>
        <w:left w:val="none" w:sz="0" w:space="0" w:color="auto"/>
        <w:bottom w:val="none" w:sz="0" w:space="0" w:color="auto"/>
        <w:right w:val="none" w:sz="0" w:space="0" w:color="auto"/>
      </w:divBdr>
    </w:div>
    <w:div w:id="1102382361">
      <w:bodyDiv w:val="1"/>
      <w:marLeft w:val="0"/>
      <w:marRight w:val="0"/>
      <w:marTop w:val="0"/>
      <w:marBottom w:val="0"/>
      <w:divBdr>
        <w:top w:val="none" w:sz="0" w:space="0" w:color="auto"/>
        <w:left w:val="none" w:sz="0" w:space="0" w:color="auto"/>
        <w:bottom w:val="none" w:sz="0" w:space="0" w:color="auto"/>
        <w:right w:val="none" w:sz="0" w:space="0" w:color="auto"/>
      </w:divBdr>
    </w:div>
    <w:div w:id="1103771484">
      <w:bodyDiv w:val="1"/>
      <w:marLeft w:val="0"/>
      <w:marRight w:val="0"/>
      <w:marTop w:val="0"/>
      <w:marBottom w:val="0"/>
      <w:divBdr>
        <w:top w:val="none" w:sz="0" w:space="0" w:color="auto"/>
        <w:left w:val="none" w:sz="0" w:space="0" w:color="auto"/>
        <w:bottom w:val="none" w:sz="0" w:space="0" w:color="auto"/>
        <w:right w:val="none" w:sz="0" w:space="0" w:color="auto"/>
      </w:divBdr>
    </w:div>
    <w:div w:id="1167282456">
      <w:bodyDiv w:val="1"/>
      <w:marLeft w:val="0"/>
      <w:marRight w:val="0"/>
      <w:marTop w:val="0"/>
      <w:marBottom w:val="0"/>
      <w:divBdr>
        <w:top w:val="none" w:sz="0" w:space="0" w:color="auto"/>
        <w:left w:val="none" w:sz="0" w:space="0" w:color="auto"/>
        <w:bottom w:val="none" w:sz="0" w:space="0" w:color="auto"/>
        <w:right w:val="none" w:sz="0" w:space="0" w:color="auto"/>
      </w:divBdr>
    </w:div>
    <w:div w:id="1196193110">
      <w:bodyDiv w:val="1"/>
      <w:marLeft w:val="0"/>
      <w:marRight w:val="0"/>
      <w:marTop w:val="0"/>
      <w:marBottom w:val="0"/>
      <w:divBdr>
        <w:top w:val="none" w:sz="0" w:space="0" w:color="auto"/>
        <w:left w:val="none" w:sz="0" w:space="0" w:color="auto"/>
        <w:bottom w:val="none" w:sz="0" w:space="0" w:color="auto"/>
        <w:right w:val="none" w:sz="0" w:space="0" w:color="auto"/>
      </w:divBdr>
    </w:div>
    <w:div w:id="1224292264">
      <w:bodyDiv w:val="1"/>
      <w:marLeft w:val="0"/>
      <w:marRight w:val="0"/>
      <w:marTop w:val="0"/>
      <w:marBottom w:val="0"/>
      <w:divBdr>
        <w:top w:val="none" w:sz="0" w:space="0" w:color="auto"/>
        <w:left w:val="none" w:sz="0" w:space="0" w:color="auto"/>
        <w:bottom w:val="none" w:sz="0" w:space="0" w:color="auto"/>
        <w:right w:val="none" w:sz="0" w:space="0" w:color="auto"/>
      </w:divBdr>
    </w:div>
    <w:div w:id="1287390276">
      <w:bodyDiv w:val="1"/>
      <w:marLeft w:val="0"/>
      <w:marRight w:val="0"/>
      <w:marTop w:val="0"/>
      <w:marBottom w:val="0"/>
      <w:divBdr>
        <w:top w:val="none" w:sz="0" w:space="0" w:color="auto"/>
        <w:left w:val="none" w:sz="0" w:space="0" w:color="auto"/>
        <w:bottom w:val="none" w:sz="0" w:space="0" w:color="auto"/>
        <w:right w:val="none" w:sz="0" w:space="0" w:color="auto"/>
      </w:divBdr>
    </w:div>
    <w:div w:id="1426994561">
      <w:bodyDiv w:val="1"/>
      <w:marLeft w:val="0"/>
      <w:marRight w:val="0"/>
      <w:marTop w:val="0"/>
      <w:marBottom w:val="0"/>
      <w:divBdr>
        <w:top w:val="none" w:sz="0" w:space="0" w:color="auto"/>
        <w:left w:val="none" w:sz="0" w:space="0" w:color="auto"/>
        <w:bottom w:val="none" w:sz="0" w:space="0" w:color="auto"/>
        <w:right w:val="none" w:sz="0" w:space="0" w:color="auto"/>
      </w:divBdr>
    </w:div>
    <w:div w:id="1436944853">
      <w:bodyDiv w:val="1"/>
      <w:marLeft w:val="0"/>
      <w:marRight w:val="0"/>
      <w:marTop w:val="0"/>
      <w:marBottom w:val="0"/>
      <w:divBdr>
        <w:top w:val="none" w:sz="0" w:space="0" w:color="auto"/>
        <w:left w:val="none" w:sz="0" w:space="0" w:color="auto"/>
        <w:bottom w:val="none" w:sz="0" w:space="0" w:color="auto"/>
        <w:right w:val="none" w:sz="0" w:space="0" w:color="auto"/>
      </w:divBdr>
    </w:div>
    <w:div w:id="1471512364">
      <w:bodyDiv w:val="1"/>
      <w:marLeft w:val="0"/>
      <w:marRight w:val="0"/>
      <w:marTop w:val="0"/>
      <w:marBottom w:val="0"/>
      <w:divBdr>
        <w:top w:val="none" w:sz="0" w:space="0" w:color="auto"/>
        <w:left w:val="none" w:sz="0" w:space="0" w:color="auto"/>
        <w:bottom w:val="none" w:sz="0" w:space="0" w:color="auto"/>
        <w:right w:val="none" w:sz="0" w:space="0" w:color="auto"/>
      </w:divBdr>
    </w:div>
    <w:div w:id="1488743067">
      <w:bodyDiv w:val="1"/>
      <w:marLeft w:val="0"/>
      <w:marRight w:val="0"/>
      <w:marTop w:val="0"/>
      <w:marBottom w:val="0"/>
      <w:divBdr>
        <w:top w:val="none" w:sz="0" w:space="0" w:color="auto"/>
        <w:left w:val="none" w:sz="0" w:space="0" w:color="auto"/>
        <w:bottom w:val="none" w:sz="0" w:space="0" w:color="auto"/>
        <w:right w:val="none" w:sz="0" w:space="0" w:color="auto"/>
      </w:divBdr>
    </w:div>
    <w:div w:id="1512648031">
      <w:bodyDiv w:val="1"/>
      <w:marLeft w:val="0"/>
      <w:marRight w:val="0"/>
      <w:marTop w:val="0"/>
      <w:marBottom w:val="0"/>
      <w:divBdr>
        <w:top w:val="none" w:sz="0" w:space="0" w:color="auto"/>
        <w:left w:val="none" w:sz="0" w:space="0" w:color="auto"/>
        <w:bottom w:val="none" w:sz="0" w:space="0" w:color="auto"/>
        <w:right w:val="none" w:sz="0" w:space="0" w:color="auto"/>
      </w:divBdr>
    </w:div>
    <w:div w:id="1541434485">
      <w:bodyDiv w:val="1"/>
      <w:marLeft w:val="0"/>
      <w:marRight w:val="0"/>
      <w:marTop w:val="0"/>
      <w:marBottom w:val="0"/>
      <w:divBdr>
        <w:top w:val="none" w:sz="0" w:space="0" w:color="auto"/>
        <w:left w:val="none" w:sz="0" w:space="0" w:color="auto"/>
        <w:bottom w:val="none" w:sz="0" w:space="0" w:color="auto"/>
        <w:right w:val="none" w:sz="0" w:space="0" w:color="auto"/>
      </w:divBdr>
    </w:div>
    <w:div w:id="1638223009">
      <w:bodyDiv w:val="1"/>
      <w:marLeft w:val="0"/>
      <w:marRight w:val="0"/>
      <w:marTop w:val="0"/>
      <w:marBottom w:val="0"/>
      <w:divBdr>
        <w:top w:val="none" w:sz="0" w:space="0" w:color="auto"/>
        <w:left w:val="none" w:sz="0" w:space="0" w:color="auto"/>
        <w:bottom w:val="none" w:sz="0" w:space="0" w:color="auto"/>
        <w:right w:val="none" w:sz="0" w:space="0" w:color="auto"/>
      </w:divBdr>
    </w:div>
    <w:div w:id="1658925129">
      <w:bodyDiv w:val="1"/>
      <w:marLeft w:val="0"/>
      <w:marRight w:val="0"/>
      <w:marTop w:val="0"/>
      <w:marBottom w:val="0"/>
      <w:divBdr>
        <w:top w:val="none" w:sz="0" w:space="0" w:color="auto"/>
        <w:left w:val="none" w:sz="0" w:space="0" w:color="auto"/>
        <w:bottom w:val="none" w:sz="0" w:space="0" w:color="auto"/>
        <w:right w:val="none" w:sz="0" w:space="0" w:color="auto"/>
      </w:divBdr>
    </w:div>
    <w:div w:id="1689529226">
      <w:bodyDiv w:val="1"/>
      <w:marLeft w:val="0"/>
      <w:marRight w:val="0"/>
      <w:marTop w:val="0"/>
      <w:marBottom w:val="0"/>
      <w:divBdr>
        <w:top w:val="none" w:sz="0" w:space="0" w:color="auto"/>
        <w:left w:val="none" w:sz="0" w:space="0" w:color="auto"/>
        <w:bottom w:val="none" w:sz="0" w:space="0" w:color="auto"/>
        <w:right w:val="none" w:sz="0" w:space="0" w:color="auto"/>
      </w:divBdr>
    </w:div>
    <w:div w:id="1692760657">
      <w:bodyDiv w:val="1"/>
      <w:marLeft w:val="0"/>
      <w:marRight w:val="0"/>
      <w:marTop w:val="0"/>
      <w:marBottom w:val="0"/>
      <w:divBdr>
        <w:top w:val="none" w:sz="0" w:space="0" w:color="auto"/>
        <w:left w:val="none" w:sz="0" w:space="0" w:color="auto"/>
        <w:bottom w:val="none" w:sz="0" w:space="0" w:color="auto"/>
        <w:right w:val="none" w:sz="0" w:space="0" w:color="auto"/>
      </w:divBdr>
    </w:div>
    <w:div w:id="1701201833">
      <w:bodyDiv w:val="1"/>
      <w:marLeft w:val="0"/>
      <w:marRight w:val="0"/>
      <w:marTop w:val="0"/>
      <w:marBottom w:val="0"/>
      <w:divBdr>
        <w:top w:val="none" w:sz="0" w:space="0" w:color="auto"/>
        <w:left w:val="none" w:sz="0" w:space="0" w:color="auto"/>
        <w:bottom w:val="none" w:sz="0" w:space="0" w:color="auto"/>
        <w:right w:val="none" w:sz="0" w:space="0" w:color="auto"/>
      </w:divBdr>
    </w:div>
    <w:div w:id="1708067937">
      <w:bodyDiv w:val="1"/>
      <w:marLeft w:val="0"/>
      <w:marRight w:val="0"/>
      <w:marTop w:val="0"/>
      <w:marBottom w:val="0"/>
      <w:divBdr>
        <w:top w:val="none" w:sz="0" w:space="0" w:color="auto"/>
        <w:left w:val="none" w:sz="0" w:space="0" w:color="auto"/>
        <w:bottom w:val="none" w:sz="0" w:space="0" w:color="auto"/>
        <w:right w:val="none" w:sz="0" w:space="0" w:color="auto"/>
      </w:divBdr>
    </w:div>
    <w:div w:id="1719621011">
      <w:bodyDiv w:val="1"/>
      <w:marLeft w:val="0"/>
      <w:marRight w:val="0"/>
      <w:marTop w:val="0"/>
      <w:marBottom w:val="0"/>
      <w:divBdr>
        <w:top w:val="none" w:sz="0" w:space="0" w:color="auto"/>
        <w:left w:val="none" w:sz="0" w:space="0" w:color="auto"/>
        <w:bottom w:val="none" w:sz="0" w:space="0" w:color="auto"/>
        <w:right w:val="none" w:sz="0" w:space="0" w:color="auto"/>
      </w:divBdr>
    </w:div>
    <w:div w:id="1776821447">
      <w:bodyDiv w:val="1"/>
      <w:marLeft w:val="0"/>
      <w:marRight w:val="0"/>
      <w:marTop w:val="0"/>
      <w:marBottom w:val="0"/>
      <w:divBdr>
        <w:top w:val="none" w:sz="0" w:space="0" w:color="auto"/>
        <w:left w:val="none" w:sz="0" w:space="0" w:color="auto"/>
        <w:bottom w:val="none" w:sz="0" w:space="0" w:color="auto"/>
        <w:right w:val="none" w:sz="0" w:space="0" w:color="auto"/>
      </w:divBdr>
    </w:div>
    <w:div w:id="1783527275">
      <w:bodyDiv w:val="1"/>
      <w:marLeft w:val="0"/>
      <w:marRight w:val="0"/>
      <w:marTop w:val="0"/>
      <w:marBottom w:val="0"/>
      <w:divBdr>
        <w:top w:val="none" w:sz="0" w:space="0" w:color="auto"/>
        <w:left w:val="none" w:sz="0" w:space="0" w:color="auto"/>
        <w:bottom w:val="none" w:sz="0" w:space="0" w:color="auto"/>
        <w:right w:val="none" w:sz="0" w:space="0" w:color="auto"/>
      </w:divBdr>
    </w:div>
    <w:div w:id="1789816084">
      <w:bodyDiv w:val="1"/>
      <w:marLeft w:val="0"/>
      <w:marRight w:val="0"/>
      <w:marTop w:val="0"/>
      <w:marBottom w:val="0"/>
      <w:divBdr>
        <w:top w:val="none" w:sz="0" w:space="0" w:color="auto"/>
        <w:left w:val="none" w:sz="0" w:space="0" w:color="auto"/>
        <w:bottom w:val="none" w:sz="0" w:space="0" w:color="auto"/>
        <w:right w:val="none" w:sz="0" w:space="0" w:color="auto"/>
      </w:divBdr>
    </w:div>
    <w:div w:id="1820535755">
      <w:bodyDiv w:val="1"/>
      <w:marLeft w:val="0"/>
      <w:marRight w:val="0"/>
      <w:marTop w:val="0"/>
      <w:marBottom w:val="0"/>
      <w:divBdr>
        <w:top w:val="none" w:sz="0" w:space="0" w:color="auto"/>
        <w:left w:val="none" w:sz="0" w:space="0" w:color="auto"/>
        <w:bottom w:val="none" w:sz="0" w:space="0" w:color="auto"/>
        <w:right w:val="none" w:sz="0" w:space="0" w:color="auto"/>
      </w:divBdr>
    </w:div>
    <w:div w:id="1894003652">
      <w:bodyDiv w:val="1"/>
      <w:marLeft w:val="0"/>
      <w:marRight w:val="0"/>
      <w:marTop w:val="0"/>
      <w:marBottom w:val="0"/>
      <w:divBdr>
        <w:top w:val="none" w:sz="0" w:space="0" w:color="auto"/>
        <w:left w:val="none" w:sz="0" w:space="0" w:color="auto"/>
        <w:bottom w:val="none" w:sz="0" w:space="0" w:color="auto"/>
        <w:right w:val="none" w:sz="0" w:space="0" w:color="auto"/>
      </w:divBdr>
    </w:div>
    <w:div w:id="1911891597">
      <w:bodyDiv w:val="1"/>
      <w:marLeft w:val="0"/>
      <w:marRight w:val="0"/>
      <w:marTop w:val="0"/>
      <w:marBottom w:val="0"/>
      <w:divBdr>
        <w:top w:val="none" w:sz="0" w:space="0" w:color="auto"/>
        <w:left w:val="none" w:sz="0" w:space="0" w:color="auto"/>
        <w:bottom w:val="none" w:sz="0" w:space="0" w:color="auto"/>
        <w:right w:val="none" w:sz="0" w:space="0" w:color="auto"/>
      </w:divBdr>
    </w:div>
    <w:div w:id="200142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trade.gov.ng/en/downlo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lab.research.google.com/drive/1RyCaCtG7I-S0wTNKjfLj-rzrC_jjoW-y"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p.powerbi.com/links/n0ziMDLWbP?ctid=66b3f0c2-8bc6-451e-9603-986f618ae682&amp;pbi_source=linkSha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ive.google.com/drive/folders/1KH0RgM0lzzHW_j7V8E6WdBoQLuYCz_tU?usp=driv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ifemifaith07/ZTH_Reform_Analytics_Hackathon.git"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6C27AF7280F4D95AE2654F0DFA3DE5A"/>
        <w:category>
          <w:name w:val="General"/>
          <w:gallery w:val="placeholder"/>
        </w:category>
        <w:types>
          <w:type w:val="bbPlcHdr"/>
        </w:types>
        <w:behaviors>
          <w:behavior w:val="content"/>
        </w:behaviors>
        <w:guid w:val="{C991861A-F154-45B5-89F3-FC0FA7B4B2B6}"/>
      </w:docPartPr>
      <w:docPartBody>
        <w:p w:rsidR="00000000" w:rsidRDefault="00000000">
          <w:pPr>
            <w:pStyle w:val="16C27AF7280F4D95AE2654F0DFA3DE5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6</w:t>
          </w:r>
          <w:r w:rsidRPr="00D86945">
            <w:rPr>
              <w:rStyle w:val="SubtitleChar"/>
              <w:b/>
            </w:rPr>
            <w:fldChar w:fldCharType="end"/>
          </w:r>
        </w:p>
      </w:docPartBody>
    </w:docPart>
    <w:docPart>
      <w:docPartPr>
        <w:name w:val="2A15247D66A84CD28A0ADB9E70CD325C"/>
        <w:category>
          <w:name w:val="General"/>
          <w:gallery w:val="placeholder"/>
        </w:category>
        <w:types>
          <w:type w:val="bbPlcHdr"/>
        </w:types>
        <w:behaviors>
          <w:behavior w:val="content"/>
        </w:behaviors>
        <w:guid w:val="{030694A6-B84D-49F6-9FC5-C36751AAF0D3}"/>
      </w:docPartPr>
      <w:docPartBody>
        <w:p w:rsidR="00000000" w:rsidRDefault="00000000">
          <w:pPr>
            <w:pStyle w:val="2A15247D66A84CD28A0ADB9E70CD325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6A"/>
    <w:rsid w:val="004E3F6A"/>
    <w:rsid w:val="00867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14:ligatures w14:val="none"/>
    </w:rPr>
  </w:style>
  <w:style w:type="paragraph" w:customStyle="1" w:styleId="16C27AF7280F4D95AE2654F0DFA3DE5A">
    <w:name w:val="16C27AF7280F4D95AE2654F0DFA3DE5A"/>
  </w:style>
  <w:style w:type="paragraph" w:customStyle="1" w:styleId="1BA47E218EB14EDD893EF5CFDD8E9261">
    <w:name w:val="1BA47E218EB14EDD893EF5CFDD8E9261"/>
  </w:style>
  <w:style w:type="paragraph" w:customStyle="1" w:styleId="2A15247D66A84CD28A0ADB9E70CD325C">
    <w:name w:val="2A15247D66A84CD28A0ADB9E70CD325C"/>
  </w:style>
  <w:style w:type="paragraph" w:customStyle="1" w:styleId="95C5F6555DCE4CDABAA9E34FE78BC5E2">
    <w:name w:val="95C5F6555DCE4CDABAA9E34FE78BC5E2"/>
  </w:style>
  <w:style w:type="paragraph" w:customStyle="1" w:styleId="46A5AB0F4A1F4510BE467E15E725B983">
    <w:name w:val="46A5AB0F4A1F4510BE467E15E725B983"/>
  </w:style>
  <w:style w:type="paragraph" w:customStyle="1" w:styleId="9F605A81F6CE4ADBBF0FCB61CB727C41">
    <w:name w:val="9F605A81F6CE4ADBBF0FCB61CB727C41"/>
  </w:style>
  <w:style w:type="paragraph" w:customStyle="1" w:styleId="8E78E7B3CDC14856B0765575E9760E81">
    <w:name w:val="8E78E7B3CDC14856B0765575E9760E81"/>
  </w:style>
  <w:style w:type="paragraph" w:customStyle="1" w:styleId="5C5DAD10E5B842F38D519DE50E8C6A29">
    <w:name w:val="5C5DAD10E5B842F38D519DE50E8C6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Team Ruby</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2374</TotalTime>
  <Pages>18</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Faith Amuda</cp:lastModifiedBy>
  <cp:revision>3</cp:revision>
  <cp:lastPrinted>2006-08-01T17:47:00Z</cp:lastPrinted>
  <dcterms:created xsi:type="dcterms:W3CDTF">2025-05-06T20:36:00Z</dcterms:created>
  <dcterms:modified xsi:type="dcterms:W3CDTF">2025-05-09T08:47:00Z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