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КП студию</w:t>
      </w:r>
    </w:p>
    <w:p>
      <w:pPr>
        <w:pStyle w:val="Heading1"/>
      </w:pPr>
      <w:r>
        <w:t>Назначение</w:t>
      </w:r>
    </w:p>
    <w:p>
      <w:r>
        <w:t>КП-студия создаёт персонализированные коммерческие предложения по таблице клиентов. Пользователь получает отдельный PDF для каждой компании и журнал обработки. Проект выполняется по учебному заданию «AI-генератор коммерческих предложений».</w:t>
      </w:r>
    </w:p>
    <w:p>
      <w:pPr>
        <w:pStyle w:val="Heading1"/>
      </w:pPr>
      <w:r>
        <w:t>Аудитория и задача</w:t>
      </w:r>
    </w:p>
    <w:p>
      <w:r>
        <w:t>Менеджеры небольших студий и агентств, которые готовят предложения по входящим запросам. Повторный ручной перенос данных и оформление документов занимают время; программа автоматизирует подготовку черновиков. Измеримые обещания экономии времени и роста продаж в проект не входят.</w:t>
      </w:r>
    </w:p>
    <w:p>
      <w:pPr>
        <w:pStyle w:val="Heading1"/>
      </w:pPr>
      <w:r>
        <w:t>Обязательные функции и приёмка</w:t>
      </w:r>
    </w:p>
    <w:p>
      <w:r>
        <w:t>1. Прочитать CSV в UTF-8 и Excel XLSX. Поля: название компании, контактное лицо, потребности клиента, бюджет в рублях. Проверка: одинаковые таблицы в двух форматах дают одинаковые данные клиентов.</w:t>
      </w:r>
    </w:p>
    <w:p>
      <w:r>
        <w:t>2. Создать персональный текст через модель OpenAI с помощью библиотеки openai. В локальной поставке доступ осуществляется через ProxyAPI. Проверка: реальный запрос на вымышленных данных завершается и даёт текст по задаче клиента. Если для сдачи требуется именно прямой OpenAI API, адрес и ключ переключаются в .env.</w:t>
      </w:r>
    </w:p>
    <w:p>
      <w:r>
        <w:t>3. Сформировать PDF с кириллицей и оформлением. Документ содержит компанию, контакт, потребности, AI-текст, бюджет, условия согласования и следующий шаг. Проверка: файл открывается, текст читается, нет обрезанных строк и наложений.</w:t>
      </w:r>
    </w:p>
    <w:p>
      <w:r>
        <w:t>4. Сохранить результаты в отдельную папку компании. Повторный запуск и повтор компании не перезаписывают предыдущие документы. Проверка: два запуска сохраняют оба набора PDF.</w:t>
      </w:r>
    </w:p>
    <w:p>
      <w:r>
        <w:t>5. Записать результат каждой строки в journal.jsonl с временем, идентификатором запуска, статусом и путями файлов или ошибкой. Проверка: ошибка одной строки не прерывает остальные, журнал сохраняется между запусками.</w:t>
      </w:r>
    </w:p>
    <w:p>
      <w:pPr>
        <w:pStyle w:val="Heading1"/>
      </w:pPr>
      <w:r>
        <w:t>Дополнительные функции</w:t>
      </w:r>
    </w:p>
    <w:p>
      <w:r>
        <w:t>Проверка таблицы без расходов; ограничение количества клиентов; локальная демонстрация с явной маркировкой без AI; сохранение ответа в TXT перед созданием PDF; сводный JSON каждого запуска; команды PowerShell и запуск CMD; Docker Compose. Локальный браузерный экран позволяет выбрать таблицу, проверить строки, запустить генерацию и скачать PDF с журналом.</w:t>
      </w:r>
    </w:p>
    <w:p>
      <w:pPr>
        <w:pStyle w:val="Heading1"/>
      </w:pPr>
      <w:r>
        <w:t>Технологии</w:t>
      </w:r>
    </w:p>
    <w:p>
      <w:r>
        <w:t>Python 3.12+, pandas, openpyxl, openai, reportlab, python-dotenv. Тесты pytest. Командная строка и локальный браузерный экран на стандартном http.server используют один конвейер. Сервер слушает только 127.0.0.1 и не предназначен для публичного размещения. Контейнер — дополнительный способ запуска командной строки. Работа локальная, без регистрации и базы данных.</w:t>
      </w:r>
    </w:p>
    <w:p>
      <w:pPr>
        <w:pStyle w:val="Heading1"/>
      </w:pPr>
      <w:r>
        <w:t>Ограничения и риски</w:t>
      </w:r>
    </w:p>
    <w:p>
      <w:r>
        <w:t>До 100 строк за запуск. Название и контакт до 200 символов, потребности до 6000 символов. Положительный бюджет до 1 млрд рублей. Файлы .xls не поддерживаются. Выполняется один запуск за раз. При сетевом сбое требуется повторный запуск выбранных строк; автоматического возобновления нет. Текст AI проверяет пользователь, программа не рассчитывает окончательную цену и сроки. Бюджет разработки учебный; расходы на API оплачивает владелец ключа, размер зависит от модели и числа запросов. Расчёт стоимости запросов в интерфейсе не предусмотрен. Автоматические повторы отключены.</w:t>
      </w:r>
    </w:p>
    <w:p>
      <w:r>
        <w:t>Ключ хранится только в локальном .env, исключённом из Git. В API передаются только данные выбранной строки. В демонстрации используются вымышленные компании. Рабочие документы, TXT и журнал содержат клиентские данные и требуют защищённого хранения. Отправка писем и публикация документов не выполняются программой.</w:t>
      </w:r>
    </w:p>
    <w:p>
      <w:pPr>
        <w:pStyle w:val="Heading1"/>
      </w:pPr>
      <w:r>
        <w:t>План на четырнадцать дней</w:t>
      </w:r>
    </w:p>
    <w:p>
      <w:r>
        <w:t>Дни 1–2: согласование ТЗ и формата таблицы. Дни 3–4: чтение и проверка данных. Дни 5–6: API и обработка ошибок. Дни 7–8: PDF и кириллица. Дни 9–10: журнал, тесты и повторные запуски. Дни 11–12: проверка реальных запросов на вымышленных данных и оформление README. Дни 13–14: скриншоты, скринкаст, проверка репозитория и подготовка сдачи. Срок сдачи отсчитывается от согласованной с менеджером даты начала.</w:t>
      </w:r>
    </w:p>
    <w:p>
      <w:pPr>
        <w:pStyle w:val="Heading1"/>
      </w:pPr>
      <w:r>
        <w:t>Материалы для сдачи</w:t>
      </w:r>
    </w:p>
    <w:p>
      <w:r>
        <w:t>ТЗ в DOCX; открытый GitHub-репозиторий с README и .env.example; примеры CSV и XLSX; скриншоты всех функций; скринкаст полного сценария. В публичный репозиторий не включаются ключи, локальное окружение и клиентские результаты. Ссылка на проект прикрепляется в раздел «Проект №1» тетради карьерных действий. После проверки учитываются замечания и оформляется кейс в портфолио.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КП студию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