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BÉTON and Bioreceptive Value: Concrete, Diversion, and Postcolonial Materiality</w:t>
      </w:r>
    </w:p>
    <w:p>
      <w:r>
        <w:t>Liam Cloete 242018</w:t>
      </w:r>
    </w:p>
    <w:p>
      <w:r>
        <w:t>Open Window, School of Fundamentals</w:t>
      </w:r>
    </w:p>
    <w:p>
      <w:r>
        <w:t>Visual Culture 300</w:t>
      </w:r>
    </w:p>
    <w:p>
      <w:r>
        <w:t>Dr Karl van Heerden</w:t>
      </w:r>
    </w:p>
    <w:p>
      <w:r>
        <w:t>23 October 2026</w:t>
      </w:r>
    </w:p>
    <w:p>
      <w:pPr>
        <w:jc w:val="center"/>
      </w:pPr>
      <w:r>
        <w:rPr>
          <w:b/>
        </w:rPr>
        <w:t>Table of Contents</w:t>
      </w:r>
    </w:p>
    <w:p>
      <w:r>
        <w:t>List of Figures ........................................................................................................................ 3</w:t>
      </w:r>
    </w:p>
    <w:p>
      <w:r>
        <w:t>BÉTON and Bioreceptive Value: Concrete, Diversion, and Postcolonial Materiality ......... 4</w:t>
      </w:r>
    </w:p>
    <w:p>
      <w:r>
        <w:t>Introduction ............................................................................................................................ 4</w:t>
      </w:r>
    </w:p>
    <w:p>
      <w:r>
        <w:t>Concrete’s Customary Path and Postcolonial Context ......................................................... 5</w:t>
      </w:r>
    </w:p>
    <w:p>
      <w:r>
        <w:t>Commoditisation and the Politics of Diversion .................................................................... 6</w:t>
      </w:r>
    </w:p>
    <w:p>
      <w:r>
        <w:t>The Rough Surface as an Ecological Argument .................................................................. 7</w:t>
      </w:r>
    </w:p>
    <w:p>
      <w:r>
        <w:t>Self-Reflection, Practical Constraints, and Design Bias ....................................................... 8</w:t>
      </w:r>
    </w:p>
    <w:p>
      <w:r>
        <w:t>Conclusion ........................................................................................................................... 9</w:t>
      </w:r>
    </w:p>
    <w:p>
      <w:r>
        <w:t>References ............................................................................................................................ 11</w:t>
      </w:r>
    </w:p>
    <w:p>
      <w:pPr>
        <w:jc w:val="center"/>
      </w:pPr>
      <w:r>
        <w:rPr>
          <w:b/>
        </w:rPr>
        <w:t>List of Figures</w:t>
      </w:r>
    </w:p>
    <w:p>
      <w:r>
        <w:t>Figure 1 SolidWorks CAD render detailing precise geometric face alignments ................... 6</w:t>
      </w:r>
    </w:p>
    <w:p>
      <w:r>
        <w:t>Figure 2 Visualisation of concrete planter surface showing predicted moss growth .......... 8</w:t>
      </w:r>
    </w:p>
    <w:p>
      <w:pPr>
        <w:jc w:val="center"/>
      </w:pPr>
      <w:r>
        <w:rPr>
          <w:b/>
        </w:rPr>
        <w:t>BÉTON and Bioreceptive Value: Concrete, Diversion, and Postcolonial Materiality</w:t>
      </w:r>
    </w:p>
    <w:p>
      <w:pPr>
        <w:jc w:val="left"/>
      </w:pPr>
      <w:r>
        <w:rPr>
          <w:b/>
        </w:rPr>
        <w:t>Introduction</w:t>
      </w:r>
    </w:p>
    <w:p>
      <w:pPr>
        <w:ind w:firstLine="720"/>
      </w:pPr>
      <w:r>
        <w:t>BÉTON is a cast-concrete desk planter modelled in SolidWorks and designed to be hand-cast in multi-part silicone moulds. The design responds to the lack of tactile engagement in generic, mass-produced plastic plant containers. As a South African designer working in the Global South, I interact with concrete daily as an ordinary, low-status material that is widely used for utilitarian infrastructure and rarely considered aesthetically desirable in consumer products. This paper analyses BÉTON using Arjun Appadurai’s (1986/2006) framework on the politics of value, illustrating how value is “accelerated or enhanced by placing objects and things in unlikely contexts” (p. 418).</w:t>
      </w:r>
    </w:p>
    <w:p>
      <w:pPr>
        <w:ind w:firstLine="720"/>
      </w:pPr>
      <w:r>
        <w:t>I argue that BÉTON performs a dual diversion. Socially, it moves concrete from public civil engineering to the private desk. Ecologically, it uses concrete’s rough texture to encourage moss growth. I treat these two diversions as one connected process because the material properties that mark concrete as cheap in construction are the same properties that give it primary bioreceptivity (Manso et al., 2014, p. 233). The essay traces concrete’s customary path, applies commoditisation by diversion, examines the rough surface, and reflects on my design bias.</w:t>
      </w:r>
    </w:p>
    <w:p>
      <w:pPr>
        <w:jc w:val="left"/>
      </w:pPr>
      <w:r>
        <w:rPr>
          <w:b/>
        </w:rPr>
        <w:t>Concrete’s Customary Path and Postcolonial Context</w:t>
      </w:r>
    </w:p>
    <w:p>
      <w:pPr>
        <w:ind w:firstLine="720"/>
      </w:pPr>
      <w:r>
        <w:t>Appadurai (1986/2006) argues that economic and cultural value is created as objects move along specific itineraries, establishing that “diversions are meaningful only in relation to the paths from which they stray” (p. 419). To understand how BÉTON generates value, one must first identify where concrete normally goes. Its customary path runs from cement factories to kerbs, pavements, drainage pipes, and building foundations. These elements form a background infrastructure that is engineered for structural utility rather than aesthetic appreciation.</w:t>
      </w:r>
    </w:p>
    <w:p>
      <w:pPr>
        <w:ind w:firstLine="720"/>
      </w:pPr>
      <w:r>
        <w:t>In South Africa, this customary path carries historical and socio-political weight. From my observation of the built environment, concrete features prominently in the structural legacy of twentieth-century spatial planning, as it was widely used for state institutions and the standardised housing of segregated townships. For many South Africans, raw concrete is associated with historical hardship and cheap construction. Re-contextualising concrete into a decorative design object requires acknowledging that the material is tied to a complex local history.</w:t>
      </w:r>
    </w:p>
    <w:p>
      <w:pPr>
        <w:ind w:firstLine="720"/>
      </w:pPr>
      <w:r>
        <w:t>The customary path of concrete may be part of what makes brutalist design appealing to upscale homeware markets. My initial pitches and visual research were influenced by the Montreal concrete sculptor David Umemoto (2022) and the concrete basin maker Kast Concrete Basins (2025). Umemoto casts small architectural sculptures and planters in bare concrete, and Kast makes concrete basins and sinks for domestic bathrooms. This reflects Appadurai’s (1986/2006) assertion that “diversions that become predictable are on their way to becoming new paths” (p. 419), as raw concrete is now an established aesthetic trend.</w:t>
      </w:r>
    </w:p>
    <w:p>
      <w:pPr>
        <w:jc w:val="left"/>
      </w:pPr>
      <w:r>
        <w:rPr>
          <w:b/>
        </w:rPr>
        <w:t>Commoditisation and the Politics of Diversion</w:t>
      </w:r>
    </w:p>
    <w:p>
      <w:pPr>
        <w:ind w:firstLine="720"/>
      </w:pPr>
      <w:r>
        <w:t>Appadurai (1986/2006) describes how base materials acquire elevated cultural and financial value when redirected from utilitarian routes into spaces of display (p. 418). He notes that “in the high-tech look inspired by the Bauhaus, the functionality of factories, warehouses, and workplaces is diverted to household aesthetics” (p. 418). This shift shows how materials gain prestige when relocated into settings where they do not traditionally belong. BÉTON applies this mechanism by turning rough construction concrete into a controlled desk object.</w:t>
      </w:r>
    </w:p>
    <w:p>
      <w:r>
        <w:rPr>
          <w:b/>
        </w:rPr>
        <w:t>Figure 1</w:t>
      </w:r>
    </w:p>
    <w:p>
      <w:r>
        <w:rPr>
          <w:i/>
        </w:rPr>
        <w:t>SolidWorks CAD render detailing precise geometric face alignments</w:t>
      </w:r>
    </w:p>
    <w:p>
      <w:r>
        <w:rPr>
          <w:i/>
        </w:rPr>
        <w:t>Note.</w:t>
      </w:r>
      <w:r>
        <w:t xml:space="preserve"> Rendered in SolidWorks by the author (2026).</w:t>
      </w:r>
    </w:p>
    <w:p>
      <w:pPr>
        <w:ind w:firstLine="720"/>
      </w:pPr>
      <w:r>
        <w:t>In BÉTON, digital CAD modelling imposes geometric alignments onto a heavy material. As illustrated in Figure 1, the design uses angled facets, stepped edge profiles, and distinct parting line alignments. These precise facets and stepped edges make rough concrete read as a designed object rather than a building offcut, so the “unlikely context” is built by form as well as by location. My product pitch costed each unit at R30.10 in raw materials and silicone mould wear, while assigning a retail price of R300. The raw concrete accounts for a fraction of that markup; the added financial value is largely generated by moving the material from the building site to the office desk. This demonstrates Appadurai’s (1986/2006) concept of “commoditization by diversion, where value, in the art or fashion market, is accelerated or enhanced” (p. 418). In other words, most of BÉTON’s jump from R30 to R300 is not paid for the concrete itself but for seeing an ordinary material in a setting where it reads as décor.</w:t>
      </w:r>
    </w:p>
    <w:p>
      <w:pPr>
        <w:ind w:firstLine="720"/>
      </w:pPr>
      <w:r>
        <w:t>This elevation can be read as an analogy to his description of “the display, in highbrow Western homes, of the tools and artifacts of the ‘other’” (Appadurai, 1986/2006, p. 418). Here, functional materials gain value when removed from the manual working contexts that produced them. Appadurai (1986/2006) notes that the diversion of commodities from their customary paths “always carries a risky and morally ambiguous aura” (p. 418). Selling raw concrete as brutalist décor is such a diversion, and I profit from an aesthetic derived from low-cost construction environments. The R300 price is likely to rely on consumers who have sufficient economic distance from concrete’s history in South Africa to view it as a visual style rather than a sign of structural inequality.</w:t>
      </w:r>
    </w:p>
    <w:p>
      <w:pPr>
        <w:jc w:val="left"/>
      </w:pPr>
      <w:r>
        <w:rPr>
          <w:b/>
        </w:rPr>
        <w:t>The Rough Surface as an Ecological Argument</w:t>
      </w:r>
    </w:p>
    <w:p>
      <w:pPr>
        <w:ind w:firstLine="720"/>
      </w:pPr>
      <w:r>
        <w:t>This material diversion connects Appadurai’s (1986/2006) cultural theory with Manso et al.’s (2014) biological research. Manso et al. cite Guillitte’s definition of primary bioreceptivity as “the totality of material properties that contribute to the establishment, anchorage and development of flora and/or fauna” (Guillitte, 1995, as cited in Manso et al., 2014, p. 233). Growth on a surface depends on chemical composition and physical texture (Manso et al., 2014, p. 233). Manso et al. (2014) report that surfaces with moderate porosity and roughness gave the best results, because they give organisms anchorage spots (p. 232).</w:t>
      </w:r>
    </w:p>
    <w:p>
      <w:pPr>
        <w:ind w:firstLine="720"/>
      </w:pPr>
      <w:r>
        <w:t>The physical traits that lower concrete’s status in civil engineering are what allow flora to take hold. From my observation of municipal infrastructure, surface air pockets indicate poor finishing, and moss is treated as dirt to be cleaned off. However, these same perceived defects provide the necessary “anchorage spots for the micro-organisms” (Manso et al., 2014, p. 233). In casting BÉTON, I intentionally left the surface unsanded and unsealed.</w:t>
      </w:r>
    </w:p>
    <w:p>
      <w:r>
        <w:rPr>
          <w:b/>
        </w:rPr>
        <w:t>Figure 2</w:t>
      </w:r>
    </w:p>
    <w:p>
      <w:r>
        <w:rPr>
          <w:i/>
        </w:rPr>
        <w:t>Visualisation of concrete planter surface showing predicted moss growth</w:t>
      </w:r>
    </w:p>
    <w:p>
      <w:r>
        <w:rPr>
          <w:i/>
        </w:rPr>
        <w:t>Note.</w:t>
      </w:r>
      <w:r>
        <w:t xml:space="preserve"> Digital render illustrating projected moss growth by the author (2026).</w:t>
      </w:r>
    </w:p>
    <w:p>
      <w:pPr>
        <w:ind w:firstLine="720"/>
      </w:pPr>
      <w:r>
        <w:t>Figure 2 illustrates the predicted biological growth on the unpolished cast. The difference lies in setting: based on urban observation, moss on a pavement signals municipal neglect, but on a desk, it suggests intentional care. The crisp geometric faces shown in Figure 1 signal design intent, allowing the rough texture in Figure 2 to be understood as a deliberate feature rather than a casting error. This relies on the novelty of seeing a weed cultivated indoors, echoing Appadurai’s (1986/2006) observation of “the aesthetics of decontextualization (itself driven by the quest for novelty)” (p. 418).</w:t>
      </w:r>
    </w:p>
    <w:p>
      <w:pPr>
        <w:ind w:firstLine="720"/>
      </w:pPr>
      <w:r>
        <w:t>Manso et al.’s (2014) methods limit how far their findings apply to BÉTON. They found low-pH cement was colonised faster than ordinary Portland cement (p. 232), whereas I used an alkaline mix. Furthermore, their tests involved algae in laboratory settings (p. 232), whereas BÉTON relies on passive moss growth indoors. Because the physical prototype has not yet grown moss, the claim that this specific cast will cultivate flora remains a theoretical prediction.</w:t>
      </w:r>
    </w:p>
    <w:p>
      <w:pPr>
        <w:jc w:val="left"/>
      </w:pPr>
      <w:r>
        <w:rPr>
          <w:b/>
        </w:rPr>
        <w:t>Self-Reflection, Practical Constraints, and Design Bias</w:t>
      </w:r>
    </w:p>
    <w:p>
      <w:pPr>
        <w:ind w:firstLine="720"/>
      </w:pPr>
      <w:r>
        <w:t>Developing BÉTON required reviewing personal design choices, practical constraints, and theoretical assumptions. Initial drafts included a mechanical gear system, which I retained because I incorrectly assumed that mechanical complexity was necessary to prove design skill. Researching Appadurai’s (1986/2006) account of paths and diversions (p. 419) challenged this assumption. I now see that value can come from where an object is placed, not only from mechanical features.</w:t>
      </w:r>
    </w:p>
    <w:p>
      <w:pPr>
        <w:ind w:firstLine="720"/>
      </w:pPr>
      <w:r>
        <w:t>Fabrication constraints also affected the final outcome. Budget limits, the time required to make silicone moulds, and difficult parting line alignments for small gear teeth made mechanical parts impractical, leading to a solid concrete casting. Additionally, I designed BÉTON for a desk setting similar to my own, reflecting personal preferences for brutalist aesthetics without considering how raw concrete reads to people who live with concrete housing. Appadurai (1986/2006) notes that diversions combine “the aesthetic impulse, the entrepreneurial link, and the touch of the morally shocking” (p. 419). My bias towards the aesthetic side meant I overlooked the last part.</w:t>
      </w:r>
    </w:p>
    <w:p>
      <w:pPr>
        <w:ind w:firstLine="720"/>
      </w:pPr>
      <w:r>
        <w:t>This postcolonial perspective will inform my future work. For BÉTON specifically, I will consult local groundskeepers and community members who maintain concrete infrastructure daily to understand their material associations. I will use their insights to adjust the product’s marketing narrative and reconsider the R300 price point. By doing so, I aim to avoid diverting materials for aesthetic consumption without acknowledging the people situated within that context.</w:t>
      </w:r>
    </w:p>
    <w:p>
      <w:pPr>
        <w:jc w:val="left"/>
      </w:pPr>
      <w:r>
        <w:rPr>
          <w:b/>
        </w:rPr>
        <w:t>Conclusion</w:t>
      </w:r>
    </w:p>
    <w:p>
      <w:pPr>
        <w:ind w:firstLine="720"/>
      </w:pPr>
      <w:r>
        <w:t>BÉTON illustrates how material value can be altered through contextual diversion. As Appadurai (1986/2006) notes, the diversion of commodities “is always a sign of creativity or crisis, whether aesthetic or economic” (p. 417). BÉTON’s diversion is both aesthetic, as rough construction concrete is recast as desk décor, and economic, as that recasting turns an R30 cast into an R300 product, and the same rough surface drives each. The unsealed surface that marks concrete as an inexpensive construction material enables both its potential for moss growth and its higher market pricing.</w:t>
      </w:r>
    </w:p>
    <w:p>
      <w:pPr>
        <w:ind w:firstLine="720"/>
      </w:pPr>
      <w:r>
        <w:t>This paper has limits in its scope: it analyses a single project, relies on one primary theoretical chapter, lacks empirical buyer data, and describes concrete’s South African history from my own observation rather than a published historical source. Because the prototype has not yet grown moss indoors, the ecological claims in an office setting remain untested.</w:t>
      </w:r>
    </w:p>
    <w:p>
      <w:pPr>
        <w:ind w:firstLine="720"/>
      </w:pPr>
      <w:r>
        <w:t>Future research could examine biological growth on ordinary Portland cement under varying indoor humidity levels or test lower-pH cement mixes suitable for hand-casting. Writing this paper taught me that material choices carry social histories, and that designers must critically evaluate the origins of the materials they divert for aesthetic consumption.</w:t>
      </w:r>
    </w:p>
    <w:p>
      <w:pPr>
        <w:jc w:val="center"/>
      </w:pPr>
      <w:r>
        <w:rPr>
          <w:b/>
        </w:rPr>
        <w:t>References</w:t>
      </w:r>
    </w:p>
    <w:p>
      <w:pPr>
        <w:ind w:left="720" w:hanging="720"/>
      </w:pPr>
      <w:r>
        <w:t xml:space="preserve">Appadurai, A. (2006). Commodities and the politics of value. In B. Ashcroft, G. Griffiths, &amp; H. Tiffin (Eds.), </w:t>
      </w:r>
      <w:r>
        <w:rPr>
          <w:i/>
        </w:rPr>
        <w:t>The post-colonial studies reader</w:t>
      </w:r>
      <w:r>
        <w:t xml:space="preserve"> (2nd ed., pp. 417–420). Routledge. (Original work published 1986)</w:t>
      </w:r>
    </w:p>
    <w:p>
      <w:pPr>
        <w:ind w:left="720" w:hanging="720"/>
      </w:pPr>
      <w:r>
        <w:t xml:space="preserve">Kast Concrete Basins. (2025). </w:t>
      </w:r>
      <w:r>
        <w:rPr>
          <w:i/>
        </w:rPr>
        <w:t>Bathroom basins &amp; sinks</w:t>
      </w:r>
      <w:r>
        <w:t>. https://kastconcretebasins.com/</w:t>
      </w:r>
    </w:p>
    <w:p>
      <w:pPr>
        <w:ind w:left="720" w:hanging="720"/>
      </w:pPr>
      <w:r>
        <w:t xml:space="preserve">Manso, S., De Muynck, W., Segura, I., Aguado, A., Steppe, K., Boon, N., &amp; De Belie, N. (2014). Bioreceptivity evaluation of cementitious materials designed to stimulate biological growth. </w:t>
      </w:r>
      <w:r>
        <w:rPr>
          <w:i/>
        </w:rPr>
        <w:t>Science of the Total Environment, 481</w:t>
      </w:r>
      <w:r>
        <w:t>, 232–241. https://doi.org/10.1016/j.scitotenv.2014.02.059</w:t>
      </w:r>
    </w:p>
    <w:p>
      <w:pPr>
        <w:ind w:left="720" w:hanging="720"/>
      </w:pPr>
      <w:r>
        <w:t xml:space="preserve">Umemoto, D. (2022). </w:t>
      </w:r>
      <w:r>
        <w:rPr>
          <w:i/>
        </w:rPr>
        <w:t>Concrete sculptures, architecture and arts</w:t>
      </w:r>
      <w:r>
        <w:t>. https://davidumemoto.com/</w:t>
      </w:r>
    </w:p>
    <w:p>
      <w:pPr>
        <w:jc w:val="center"/>
      </w:pPr>
      <w:r>
        <w:rPr>
          <w:b/>
        </w:rPr>
        <w:t>AI Use Statement</w:t>
      </w:r>
    </w:p>
    <w:p>
      <w:r>
        <w:t>Generative AI (Gemini) was used to assist with proofreading, checking APA 7th edition citation formatting, auditing structural alignment against the assignment checklist, and identifying South African English spelling corrections. Additionally, Claude was used for critical feedback, formatting checks, and guiding the non-repetitive placement of citations.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