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5D8" w:rsidRDefault="00F515CA" w:rsidP="00F515CA">
      <w:pPr>
        <w:pStyle w:val="Heading1"/>
      </w:pPr>
      <w:r>
        <w:t xml:space="preserve">What is Mark’s understanding of the person and work of Jesus and how is this </w:t>
      </w:r>
      <w:r w:rsidRPr="00F515CA">
        <w:t>‘</w:t>
      </w:r>
      <w:r>
        <w:t>good news</w:t>
      </w:r>
      <w:r w:rsidRPr="00F515CA">
        <w:t>’</w:t>
      </w:r>
      <w:r>
        <w:t xml:space="preserve"> for today?</w:t>
      </w:r>
    </w:p>
    <w:p w:rsidR="00F515CA" w:rsidRDefault="00F515CA" w:rsidP="00F515CA">
      <w:pPr>
        <w:pStyle w:val="Subtitle"/>
        <w:numPr>
          <w:ilvl w:val="0"/>
          <w:numId w:val="0"/>
        </w:numPr>
        <w:pBdr>
          <w:bottom w:val="single" w:sz="4" w:space="1" w:color="auto"/>
        </w:pBdr>
        <w:spacing w:before="120"/>
        <w:rPr>
          <w:rFonts w:cs="Times New Roman"/>
          <w:color w:val="auto"/>
        </w:rPr>
      </w:pPr>
      <w:r w:rsidRPr="00F515CA">
        <w:rPr>
          <w:rFonts w:cs="Times New Roman"/>
          <w:color w:val="auto"/>
        </w:rPr>
        <w:t>Nige</w:t>
      </w:r>
      <w:r>
        <w:rPr>
          <w:rFonts w:cs="Times New Roman"/>
          <w:color w:val="auto"/>
        </w:rPr>
        <w:t>l</w:t>
      </w:r>
      <w:r w:rsidRPr="00F515CA">
        <w:rPr>
          <w:rFonts w:cs="Times New Roman"/>
          <w:color w:val="auto"/>
        </w:rPr>
        <w:t xml:space="preserve"> Hardy</w:t>
      </w:r>
    </w:p>
    <w:p w:rsidR="00912D9C" w:rsidRDefault="00347BFB" w:rsidP="007F5B3A">
      <w:r w:rsidRPr="000733E6">
        <w:t>Mark’s Gospel is believed to have been written, early. Probably in the late 60s or early 70s</w:t>
      </w:r>
      <w:sdt>
        <w:sdtPr>
          <w:id w:val="-1660230055"/>
          <w:citation/>
        </w:sdtPr>
        <w:sdtContent>
          <w:r w:rsidRPr="000733E6">
            <w:fldChar w:fldCharType="begin"/>
          </w:r>
          <w:r w:rsidRPr="000733E6">
            <w:instrText xml:space="preserve">CITATION Box07 \p 104 \l 2057 </w:instrText>
          </w:r>
          <w:r w:rsidRPr="000733E6">
            <w:fldChar w:fldCharType="separate"/>
          </w:r>
          <w:r w:rsidR="002D2DC8">
            <w:rPr>
              <w:noProof/>
            </w:rPr>
            <w:t xml:space="preserve"> </w:t>
          </w:r>
          <w:r w:rsidR="002D2DC8" w:rsidRPr="002D2DC8">
            <w:rPr>
              <w:noProof/>
            </w:rPr>
            <w:t>(Boxall, 2007, p. 104)</w:t>
          </w:r>
          <w:r w:rsidRPr="000733E6">
            <w:fldChar w:fldCharType="end"/>
          </w:r>
        </w:sdtContent>
      </w:sdt>
      <w:r w:rsidR="006B79FA" w:rsidRPr="000733E6">
        <w:t xml:space="preserve"> or possibly as early as the mid to late 50s</w:t>
      </w:r>
      <w:sdt>
        <w:sdtPr>
          <w:id w:val="-1879470116"/>
          <w:citation/>
        </w:sdtPr>
        <w:sdtContent>
          <w:r w:rsidR="006B79FA" w:rsidRPr="000733E6">
            <w:fldChar w:fldCharType="begin"/>
          </w:r>
          <w:r w:rsidR="006B79FA" w:rsidRPr="000733E6">
            <w:instrText xml:space="preserve">CITATION Bay \l 2057 </w:instrText>
          </w:r>
          <w:r w:rsidR="006B79FA" w:rsidRPr="000733E6">
            <w:fldChar w:fldCharType="separate"/>
          </w:r>
          <w:r w:rsidR="002D2DC8">
            <w:rPr>
              <w:noProof/>
            </w:rPr>
            <w:t xml:space="preserve"> </w:t>
          </w:r>
          <w:r w:rsidR="002D2DC8" w:rsidRPr="002D2DC8">
            <w:rPr>
              <w:noProof/>
            </w:rPr>
            <w:t>(Bayer, 2011)</w:t>
          </w:r>
          <w:r w:rsidR="006B79FA" w:rsidRPr="000733E6">
            <w:fldChar w:fldCharType="end"/>
          </w:r>
        </w:sdtContent>
      </w:sdt>
      <w:r w:rsidR="006B79FA" w:rsidRPr="000733E6">
        <w:t xml:space="preserve">. </w:t>
      </w:r>
      <w:r w:rsidR="000733E6">
        <w:t>It was probably written in Rome. This</w:t>
      </w:r>
      <w:r w:rsidR="007700C2">
        <w:t xml:space="preserve"> is reported by the Church Fathers and 1 Pet 5:13 may be taken as supporting it</w:t>
      </w:r>
      <w:sdt>
        <w:sdtPr>
          <w:id w:val="1952745163"/>
          <w:citation/>
        </w:sdtPr>
        <w:sdtContent>
          <w:r w:rsidR="007700C2">
            <w:fldChar w:fldCharType="begin"/>
          </w:r>
          <w:r w:rsidR="007700C2">
            <w:instrText xml:space="preserve">CITATION Swi70 \l 2057 </w:instrText>
          </w:r>
          <w:r w:rsidR="007700C2">
            <w:fldChar w:fldCharType="separate"/>
          </w:r>
          <w:r w:rsidR="002D2DC8">
            <w:rPr>
              <w:noProof/>
            </w:rPr>
            <w:t xml:space="preserve"> </w:t>
          </w:r>
          <w:r w:rsidR="002D2DC8" w:rsidRPr="002D2DC8">
            <w:rPr>
              <w:noProof/>
            </w:rPr>
            <w:t>(Swift, 1970)</w:t>
          </w:r>
          <w:r w:rsidR="007700C2">
            <w:fldChar w:fldCharType="end"/>
          </w:r>
        </w:sdtContent>
      </w:sdt>
      <w:r w:rsidR="007700C2">
        <w:t>. Galilee or Syria/Palestine have also been suggested</w:t>
      </w:r>
      <w:sdt>
        <w:sdtPr>
          <w:id w:val="-1039433510"/>
          <w:citation/>
        </w:sdtPr>
        <w:sdtContent>
          <w:r w:rsidR="007700C2">
            <w:fldChar w:fldCharType="begin"/>
          </w:r>
          <w:r w:rsidR="007700C2">
            <w:instrText xml:space="preserve"> CITATION Box07 \l 2057 </w:instrText>
          </w:r>
          <w:r w:rsidR="007700C2">
            <w:fldChar w:fldCharType="separate"/>
          </w:r>
          <w:r w:rsidR="002D2DC8">
            <w:rPr>
              <w:noProof/>
            </w:rPr>
            <w:t xml:space="preserve"> </w:t>
          </w:r>
          <w:r w:rsidR="002D2DC8" w:rsidRPr="002D2DC8">
            <w:rPr>
              <w:noProof/>
            </w:rPr>
            <w:t>(Boxall, 2007)</w:t>
          </w:r>
          <w:r w:rsidR="007700C2">
            <w:fldChar w:fldCharType="end"/>
          </w:r>
        </w:sdtContent>
      </w:sdt>
      <w:r w:rsidR="007C472D">
        <w:t>, though mistakes about Palastinian geography make this less likely</w:t>
      </w:r>
      <w:r w:rsidR="007700C2">
        <w:t>.</w:t>
      </w:r>
      <w:r w:rsidR="000733E6">
        <w:t xml:space="preserve"> </w:t>
      </w:r>
      <w:r w:rsidR="006B79FA" w:rsidRPr="000733E6">
        <w:t>It seems clear that it was intended for</w:t>
      </w:r>
      <w:r w:rsidR="006B79FA">
        <w:t xml:space="preserve"> </w:t>
      </w:r>
      <w:r w:rsidR="007700C2">
        <w:t>a Gentile audience</w:t>
      </w:r>
      <w:r w:rsidR="007F5B3A">
        <w:t>. This was also frequently mentioned by Church Fathers</w:t>
      </w:r>
      <w:sdt>
        <w:sdtPr>
          <w:id w:val="1956214389"/>
          <w:citation/>
        </w:sdtPr>
        <w:sdtContent>
          <w:r w:rsidR="007F5B3A">
            <w:fldChar w:fldCharType="begin"/>
          </w:r>
          <w:r w:rsidR="007F5B3A">
            <w:instrText xml:space="preserve"> CITATION Bay \l 2057 </w:instrText>
          </w:r>
          <w:r w:rsidR="007F5B3A">
            <w:fldChar w:fldCharType="separate"/>
          </w:r>
          <w:r w:rsidR="002D2DC8">
            <w:rPr>
              <w:noProof/>
            </w:rPr>
            <w:t xml:space="preserve"> </w:t>
          </w:r>
          <w:r w:rsidR="002D2DC8" w:rsidRPr="002D2DC8">
            <w:rPr>
              <w:noProof/>
            </w:rPr>
            <w:t>(Bayer, 2011)</w:t>
          </w:r>
          <w:r w:rsidR="007F5B3A">
            <w:fldChar w:fldCharType="end"/>
          </w:r>
        </w:sdtContent>
      </w:sdt>
      <w:r w:rsidR="007F5B3A">
        <w:t xml:space="preserve"> and </w:t>
      </w:r>
      <w:r w:rsidR="003E3021">
        <w:t>is implied by</w:t>
      </w:r>
      <w:r w:rsidR="007F5B3A">
        <w:t xml:space="preserve"> translations of</w:t>
      </w:r>
      <w:r w:rsidR="007F5B3A">
        <w:t xml:space="preserve"> Aramaic</w:t>
      </w:r>
      <w:r w:rsidR="007F5B3A">
        <w:t xml:space="preserve"> provided explanation of</w:t>
      </w:r>
      <w:r w:rsidR="007F5B3A">
        <w:t xml:space="preserve"> Jewish customs</w:t>
      </w:r>
      <w:r w:rsidR="007F5B3A">
        <w:t>, translation of Latin to</w:t>
      </w:r>
      <w:r w:rsidR="007F5B3A">
        <w:t xml:space="preserve"> Greek</w:t>
      </w:r>
      <w:r w:rsidR="007F5B3A">
        <w:t xml:space="preserve"> and </w:t>
      </w:r>
      <w:r w:rsidR="007F5B3A">
        <w:t>Semitic speech forms suggesting Palestinian traditions</w:t>
      </w:r>
      <w:sdt>
        <w:sdtPr>
          <w:id w:val="639391207"/>
          <w:citation/>
        </w:sdtPr>
        <w:sdtContent>
          <w:r w:rsidR="00EC4F75">
            <w:fldChar w:fldCharType="begin"/>
          </w:r>
          <w:r w:rsidR="00EC4F75">
            <w:instrText xml:space="preserve"> CITATION The15 \l 2057 </w:instrText>
          </w:r>
          <w:r w:rsidR="00EC4F75">
            <w:fldChar w:fldCharType="separate"/>
          </w:r>
          <w:r w:rsidR="002D2DC8">
            <w:rPr>
              <w:noProof/>
            </w:rPr>
            <w:t xml:space="preserve"> </w:t>
          </w:r>
          <w:r w:rsidR="002D2DC8" w:rsidRPr="002D2DC8">
            <w:rPr>
              <w:noProof/>
            </w:rPr>
            <w:t>(The St Padarn Institute, 2015)</w:t>
          </w:r>
          <w:r w:rsidR="00EC4F75">
            <w:fldChar w:fldCharType="end"/>
          </w:r>
        </w:sdtContent>
      </w:sdt>
      <w:r w:rsidR="00E5629A">
        <w:t xml:space="preserve">. If written in Rome, the intended audience would be local Gentile Christians. </w:t>
      </w:r>
      <w:r w:rsidR="001D0518">
        <w:t>The author</w:t>
      </w:r>
      <w:r w:rsidR="006775E6">
        <w:t>, clearly not an historian or theologian</w:t>
      </w:r>
      <w:sdt>
        <w:sdtPr>
          <w:id w:val="1920511483"/>
          <w:citation/>
        </w:sdtPr>
        <w:sdtContent>
          <w:r w:rsidR="006775E6">
            <w:fldChar w:fldCharType="begin"/>
          </w:r>
          <w:r w:rsidR="006775E6">
            <w:instrText xml:space="preserve"> CITATION Tel03 \l 2057 </w:instrText>
          </w:r>
          <w:r w:rsidR="006775E6">
            <w:fldChar w:fldCharType="separate"/>
          </w:r>
          <w:r w:rsidR="002D2DC8">
            <w:rPr>
              <w:noProof/>
            </w:rPr>
            <w:t xml:space="preserve"> </w:t>
          </w:r>
          <w:r w:rsidR="002D2DC8" w:rsidRPr="002D2DC8">
            <w:rPr>
              <w:noProof/>
            </w:rPr>
            <w:t>(Telford, 2003)</w:t>
          </w:r>
          <w:r w:rsidR="006775E6">
            <w:fldChar w:fldCharType="end"/>
          </w:r>
        </w:sdtContent>
      </w:sdt>
      <w:r w:rsidR="006775E6">
        <w:t>,</w:t>
      </w:r>
      <w:r w:rsidR="001D0518">
        <w:t xml:space="preserve"> is generally believed to be the John Mark, a relative of Barnabus (Col 4:10)</w:t>
      </w:r>
      <w:r w:rsidR="006775E6">
        <w:t>,</w:t>
      </w:r>
      <w:r w:rsidR="001D0518">
        <w:t xml:space="preserve"> who was</w:t>
      </w:r>
      <w:r w:rsidR="006775E6">
        <w:t xml:space="preserve"> a writer for the Apostle Peter accompanied him, and Peter is seen as the source of most of the material.  Again, evidence for this comes from Church Fathers, in particular Eusebius, and the treatment of Peter in the text is taken as evidence</w:t>
      </w:r>
      <w:sdt>
        <w:sdtPr>
          <w:id w:val="-212121320"/>
          <w:citation/>
        </w:sdtPr>
        <w:sdtContent>
          <w:r w:rsidR="006775E6">
            <w:fldChar w:fldCharType="begin"/>
          </w:r>
          <w:r w:rsidR="006775E6">
            <w:instrText xml:space="preserve"> CITATION Bay \l 2057 </w:instrText>
          </w:r>
          <w:r w:rsidR="006775E6">
            <w:fldChar w:fldCharType="separate"/>
          </w:r>
          <w:r w:rsidR="002D2DC8">
            <w:rPr>
              <w:noProof/>
            </w:rPr>
            <w:t xml:space="preserve"> </w:t>
          </w:r>
          <w:r w:rsidR="002D2DC8" w:rsidRPr="002D2DC8">
            <w:rPr>
              <w:noProof/>
            </w:rPr>
            <w:t>(Bayer, 2011)</w:t>
          </w:r>
          <w:r w:rsidR="006775E6">
            <w:fldChar w:fldCharType="end"/>
          </w:r>
        </w:sdtContent>
      </w:sdt>
      <w:r w:rsidR="006775E6">
        <w:t>.</w:t>
      </w:r>
      <w:r w:rsidR="00933693">
        <w:t xml:space="preserve"> Perhaps given this source, and despite the audience, </w:t>
      </w:r>
      <w:r w:rsidR="00E67BC4">
        <w:t>the text does expect of the reader the ability to recognise and interpret the many Old Testament quotations and allusions</w:t>
      </w:r>
      <w:sdt>
        <w:sdtPr>
          <w:id w:val="-1060786969"/>
          <w:citation/>
        </w:sdtPr>
        <w:sdtContent>
          <w:r w:rsidR="00E67BC4">
            <w:fldChar w:fldCharType="begin"/>
          </w:r>
          <w:r w:rsidR="00E67BC4">
            <w:instrText xml:space="preserve"> CITATION Tel03 \l 2057 </w:instrText>
          </w:r>
          <w:r w:rsidR="00E67BC4">
            <w:fldChar w:fldCharType="separate"/>
          </w:r>
          <w:r w:rsidR="002D2DC8">
            <w:rPr>
              <w:noProof/>
            </w:rPr>
            <w:t xml:space="preserve"> </w:t>
          </w:r>
          <w:r w:rsidR="002D2DC8" w:rsidRPr="002D2DC8">
            <w:rPr>
              <w:noProof/>
            </w:rPr>
            <w:t>(Telford, 2003)</w:t>
          </w:r>
          <w:r w:rsidR="00E67BC4">
            <w:fldChar w:fldCharType="end"/>
          </w:r>
        </w:sdtContent>
      </w:sdt>
      <w:r w:rsidR="00E67BC4">
        <w:t xml:space="preserve">. In particular the understanding of the person and work of Jesus is based heavily on Old Testament promises. </w:t>
      </w:r>
    </w:p>
    <w:p w:rsidR="00023AF5" w:rsidRDefault="00023AF5" w:rsidP="00912D9C">
      <w:r>
        <w:t>T</w:t>
      </w:r>
      <w:r w:rsidR="00073AB9">
        <w:t>he text is a narrative, the author acts as a narrator at times and takes the reader through the period of Christ’s ministry leading to the climax of his death a</w:t>
      </w:r>
      <w:r w:rsidR="00FE6BDC">
        <w:t>nd resurrection. This is supported by the “road” or “way” motif, starting with preparation by John the Baptist (1:1-8), travels in Galilee</w:t>
      </w:r>
      <w:r w:rsidR="00BE7068">
        <w:t xml:space="preserve"> (1:14</w:t>
      </w:r>
      <w:r w:rsidR="00FE6BDC">
        <w:t>-</w:t>
      </w:r>
      <w:r w:rsidR="00BE7068">
        <w:t xml:space="preserve">8:27), the journey from Caesarea Phillipi through Galilee to </w:t>
      </w:r>
      <w:r w:rsidR="00BE7068" w:rsidRPr="00BE7068">
        <w:t>Je</w:t>
      </w:r>
      <w:r w:rsidR="00BE7068">
        <w:t xml:space="preserve">rusalem and to </w:t>
      </w:r>
      <w:r w:rsidR="00BE7068" w:rsidRPr="00BE7068">
        <w:t>suffering &amp; Death</w:t>
      </w:r>
      <w:r w:rsidR="00BE7068">
        <w:t xml:space="preserve">. </w:t>
      </w:r>
      <w:r w:rsidR="00FE6BDC">
        <w:t>Throughout, Jesus is the central character, but an understanding of his identity and purpose is only conveyed implicitly</w:t>
      </w:r>
      <w:r w:rsidR="00AD22E4">
        <w:t>, b</w:t>
      </w:r>
      <w:r w:rsidR="00FE6BDC">
        <w:t>y the</w:t>
      </w:r>
      <w:r w:rsidR="00AD22E4">
        <w:t xml:space="preserve"> way that the story unfolds</w:t>
      </w:r>
      <w:sdt>
        <w:sdtPr>
          <w:id w:val="-1760134756"/>
          <w:citation/>
        </w:sdtPr>
        <w:sdtContent>
          <w:r w:rsidR="00AD22E4">
            <w:fldChar w:fldCharType="begin"/>
          </w:r>
          <w:r w:rsidR="00AD22E4">
            <w:instrText xml:space="preserve"> CITATION Hoo91 \l 2057 </w:instrText>
          </w:r>
          <w:r w:rsidR="00AD22E4">
            <w:fldChar w:fldCharType="separate"/>
          </w:r>
          <w:r w:rsidR="002D2DC8">
            <w:rPr>
              <w:noProof/>
            </w:rPr>
            <w:t xml:space="preserve"> </w:t>
          </w:r>
          <w:r w:rsidR="002D2DC8" w:rsidRPr="002D2DC8">
            <w:rPr>
              <w:noProof/>
            </w:rPr>
            <w:t>(Hooker, 1991)</w:t>
          </w:r>
          <w:r w:rsidR="00AD22E4">
            <w:fldChar w:fldCharType="end"/>
          </w:r>
        </w:sdtContent>
      </w:sdt>
      <w:r w:rsidR="00AD22E4">
        <w:t xml:space="preserve">. </w:t>
      </w:r>
    </w:p>
    <w:p w:rsidR="003B6B3D" w:rsidRDefault="00AD22E4" w:rsidP="00912D9C">
      <w:r>
        <w:t xml:space="preserve">Throughout, </w:t>
      </w:r>
      <w:r w:rsidR="006B79FA">
        <w:t>Mark</w:t>
      </w:r>
      <w:r w:rsidR="00764A0D">
        <w:t xml:space="preserve"> portrays Jesus as a full but complex and unpredictable character and probably his is the most “human” of the Gospel presentations</w:t>
      </w:r>
      <w:r w:rsidR="00976B71" w:rsidRPr="00976B71">
        <w:t xml:space="preserve"> </w:t>
      </w:r>
      <w:sdt>
        <w:sdtPr>
          <w:id w:val="664756006"/>
          <w:citation/>
        </w:sdtPr>
        <w:sdtContent>
          <w:r w:rsidR="00976B71">
            <w:fldChar w:fldCharType="begin"/>
          </w:r>
          <w:r w:rsidR="00976B71">
            <w:instrText xml:space="preserve"> CITATION Tel03 \l 2057 </w:instrText>
          </w:r>
          <w:r w:rsidR="00976B71">
            <w:fldChar w:fldCharType="separate"/>
          </w:r>
          <w:r w:rsidR="002D2DC8" w:rsidRPr="002D2DC8">
            <w:rPr>
              <w:noProof/>
            </w:rPr>
            <w:t>(Telford, 2003)</w:t>
          </w:r>
          <w:r w:rsidR="00976B71">
            <w:fldChar w:fldCharType="end"/>
          </w:r>
        </w:sdtContent>
      </w:sdt>
      <w:r w:rsidR="00023AF5">
        <w:t>:</w:t>
      </w:r>
      <w:r w:rsidR="00764A0D">
        <w:t xml:space="preserve"> </w:t>
      </w:r>
      <w:r w:rsidR="008F4119">
        <w:t>needing his sleep (4:38)</w:t>
      </w:r>
      <w:r w:rsidR="00976B71">
        <w:t xml:space="preserve"> and food (11:12);</w:t>
      </w:r>
      <w:r w:rsidR="008F4119">
        <w:t xml:space="preserve"> marvelling at disbeli</w:t>
      </w:r>
      <w:r w:rsidR="00976B71">
        <w:t>ef (6:6);</w:t>
      </w:r>
      <w:r w:rsidR="008F4119">
        <w:t xml:space="preserve"> showing compassion (8:12), indignation (10:14), </w:t>
      </w:r>
      <w:r w:rsidR="00764A0D">
        <w:t xml:space="preserve">anger (3:5), </w:t>
      </w:r>
      <w:r w:rsidR="008F4119">
        <w:t>harshness (</w:t>
      </w:r>
      <w:r w:rsidR="006F0185">
        <w:t>8:33), impatience (9:13) and vindictiveness (11:13-14)</w:t>
      </w:r>
      <w:r w:rsidR="00976B71">
        <w:t xml:space="preserve"> and finally showing distress and sorrow in the Gethsemane</w:t>
      </w:r>
      <w:r w:rsidR="00D77217">
        <w:t xml:space="preserve"> </w:t>
      </w:r>
      <w:r w:rsidR="00976B71">
        <w:t>(11:33-34)</w:t>
      </w:r>
      <w:r w:rsidR="008F4119">
        <w:t xml:space="preserve">. </w:t>
      </w:r>
      <w:r w:rsidR="000E7371">
        <w:t xml:space="preserve">Jesus is fully human. </w:t>
      </w:r>
    </w:p>
    <w:p w:rsidR="007816C0" w:rsidRDefault="003E3E6A" w:rsidP="0057575D">
      <w:r>
        <w:t xml:space="preserve">Particularly through the “Galilee” </w:t>
      </w:r>
      <w:r w:rsidR="000C5EF7">
        <w:t xml:space="preserve">part of the </w:t>
      </w:r>
      <w:r>
        <w:t xml:space="preserve">story (1:14-8:27) </w:t>
      </w:r>
      <w:r w:rsidR="00032EF6">
        <w:t>the narrative tries to demonstrate authority and power through recounting d</w:t>
      </w:r>
      <w:r w:rsidR="00266D90">
        <w:t xml:space="preserve">eeds. Jesus demonstrates power over nature, particularly in calming the storm </w:t>
      </w:r>
      <w:r w:rsidR="00BA2558">
        <w:t>(4:35-41)</w:t>
      </w:r>
      <w:r w:rsidR="001B0F4E">
        <w:t xml:space="preserve"> and walking on water (6:48)</w:t>
      </w:r>
      <w:r w:rsidR="003F5E99">
        <w:t xml:space="preserve">; </w:t>
      </w:r>
      <w:r w:rsidR="00BA2558">
        <w:t>over sickness in healing many (specific examples at 1:29-31,</w:t>
      </w:r>
      <w:r w:rsidR="001B0F4E">
        <w:t xml:space="preserve"> 5:25-29, 7:31-36</w:t>
      </w:r>
      <w:r w:rsidR="008158E5">
        <w:t xml:space="preserve">, 8:22-25); </w:t>
      </w:r>
      <w:r w:rsidR="003F5E99">
        <w:t xml:space="preserve">over demons (3:22, 5:1-13); over death (5:21-24, 35-43). </w:t>
      </w:r>
      <w:r w:rsidR="00E57B20">
        <w:t xml:space="preserve">In 5:30 the narrator tells us that Jesus felt power had gone from him when the woman touched his garment. </w:t>
      </w:r>
      <w:r w:rsidR="00407214" w:rsidRPr="00407214">
        <w:t>All these cases include some demonstration of faith, at least in coming for help. He refuses a sign to the Pharisees who show no change of heart (8:11-12)</w:t>
      </w:r>
      <w:r w:rsidR="00407214">
        <w:t xml:space="preserve">. </w:t>
      </w:r>
      <w:r w:rsidR="003F5E99">
        <w:t>He shows power and authority to teach (1:21-22 and frequently after 8:22)</w:t>
      </w:r>
      <w:r w:rsidR="008C4A4E">
        <w:t>; He shows power and authority to forgive sin (2:1-12). He shows authority to challenge laws and traditions (</w:t>
      </w:r>
      <w:r w:rsidR="0057575D">
        <w:t xml:space="preserve">challenging the </w:t>
      </w:r>
      <w:r w:rsidR="00A27247">
        <w:t>S</w:t>
      </w:r>
      <w:r w:rsidR="0057575D">
        <w:t>abbath - 2:23-8</w:t>
      </w:r>
      <w:r w:rsidR="0057575D">
        <w:t>; and eating with unrepentant sinners</w:t>
      </w:r>
      <w:r w:rsidR="0057575D">
        <w:t xml:space="preserve"> - 2:15</w:t>
      </w:r>
      <w:r w:rsidR="0057575D">
        <w:t xml:space="preserve">). </w:t>
      </w:r>
      <w:r w:rsidR="00E85638">
        <w:t xml:space="preserve">These demonstrations of power and authority suggest or evidence that he is indeed the fulfilment of the Old Testament promises </w:t>
      </w:r>
      <w:r w:rsidR="009F0D9E">
        <w:t xml:space="preserve">of one sent by God, of the Son of God. </w:t>
      </w:r>
      <w:r w:rsidR="00AA5B11">
        <w:t>The emphasis on deeds would be expected to appeal to a Roman audience</w:t>
      </w:r>
      <w:sdt>
        <w:sdtPr>
          <w:id w:val="-834987229"/>
          <w:citation/>
        </w:sdtPr>
        <w:sdtContent>
          <w:r w:rsidR="00AA5B11">
            <w:fldChar w:fldCharType="begin"/>
          </w:r>
          <w:r w:rsidR="00AA5B11">
            <w:instrText xml:space="preserve"> CITATION Swi70 \l 2057 </w:instrText>
          </w:r>
          <w:r w:rsidR="00AA5B11">
            <w:fldChar w:fldCharType="separate"/>
          </w:r>
          <w:r w:rsidR="002D2DC8">
            <w:rPr>
              <w:noProof/>
            </w:rPr>
            <w:t xml:space="preserve"> </w:t>
          </w:r>
          <w:r w:rsidR="002D2DC8" w:rsidRPr="002D2DC8">
            <w:rPr>
              <w:noProof/>
            </w:rPr>
            <w:t xml:space="preserve">(Swift, </w:t>
          </w:r>
          <w:r w:rsidR="002D2DC8" w:rsidRPr="002D2DC8">
            <w:rPr>
              <w:noProof/>
            </w:rPr>
            <w:lastRenderedPageBreak/>
            <w:t>1970)</w:t>
          </w:r>
          <w:r w:rsidR="00AA5B11">
            <w:fldChar w:fldCharType="end"/>
          </w:r>
        </w:sdtContent>
      </w:sdt>
      <w:r w:rsidR="00AA5B11">
        <w:t xml:space="preserve"> and would suggest at least the servant aspect of the expected “sufferi</w:t>
      </w:r>
      <w:bookmarkStart w:id="0" w:name="_GoBack"/>
      <w:bookmarkEnd w:id="0"/>
      <w:r w:rsidR="00AA5B11">
        <w:t>ng servant” (</w:t>
      </w:r>
      <w:r w:rsidR="00AA5B11" w:rsidRPr="00AA5B11">
        <w:t>Is 52:!3-53-12</w:t>
      </w:r>
      <w:r w:rsidR="00AA5B11">
        <w:t xml:space="preserve">). </w:t>
      </w:r>
      <w:r w:rsidR="002D2DC8">
        <w:t>His ministry is “authenticated by might works”</w:t>
      </w:r>
      <w:sdt>
        <w:sdtPr>
          <w:id w:val="-1835834121"/>
          <w:citation/>
        </w:sdtPr>
        <w:sdtContent>
          <w:r w:rsidR="002D2DC8">
            <w:fldChar w:fldCharType="begin"/>
          </w:r>
          <w:r w:rsidR="002D2DC8">
            <w:instrText xml:space="preserve"> CITATION Swi70 \l 2057 </w:instrText>
          </w:r>
          <w:r w:rsidR="002D2DC8">
            <w:fldChar w:fldCharType="separate"/>
          </w:r>
          <w:r w:rsidR="002D2DC8">
            <w:rPr>
              <w:noProof/>
            </w:rPr>
            <w:t xml:space="preserve"> </w:t>
          </w:r>
          <w:r w:rsidR="002D2DC8" w:rsidRPr="002D2DC8">
            <w:rPr>
              <w:noProof/>
            </w:rPr>
            <w:t>(Swift, 1970)</w:t>
          </w:r>
          <w:r w:rsidR="002D2DC8">
            <w:fldChar w:fldCharType="end"/>
          </w:r>
        </w:sdtContent>
      </w:sdt>
      <w:r w:rsidR="002D2DC8">
        <w:t>.</w:t>
      </w:r>
      <w:r w:rsidR="00B63354">
        <w:t xml:space="preserve"> </w:t>
      </w:r>
    </w:p>
    <w:p w:rsidR="001B0F4E" w:rsidRDefault="001B0F4E" w:rsidP="00912D9C"/>
    <w:p w:rsidR="007816C0" w:rsidRDefault="007816C0" w:rsidP="00912D9C"/>
    <w:p w:rsidR="00BA2558" w:rsidRDefault="00BA2558" w:rsidP="00912D9C">
      <w:r>
        <w:t>&lt;&lt;&lt;</w:t>
      </w:r>
    </w:p>
    <w:p w:rsidR="00BA2558" w:rsidRDefault="00BA2558" w:rsidP="00912D9C">
      <w:r>
        <w:t>Suffering</w:t>
      </w:r>
    </w:p>
    <w:p w:rsidR="00BA2558" w:rsidRDefault="00BA2558" w:rsidP="00912D9C">
      <w:r>
        <w:t xml:space="preserve">Son of </w:t>
      </w:r>
    </w:p>
    <w:p w:rsidR="000C5EF7" w:rsidRDefault="00BA2558" w:rsidP="00912D9C">
      <w:r>
        <w:t xml:space="preserve">&gt;&gt;&gt; </w:t>
      </w:r>
    </w:p>
    <w:p w:rsidR="00CD7760" w:rsidRDefault="00CD7760" w:rsidP="00912D9C">
      <w:r>
        <w:t xml:space="preserve">At </w:t>
      </w:r>
      <w:r w:rsidR="00A66DB5">
        <w:t>four</w:t>
      </w:r>
      <w:r>
        <w:t xml:space="preserve"> critical points we have direct evidence of the divinity of Jesus. In 1:11 we have the voice proclaiming him as “my beloved Son”. The narrator tells us that Jesus saw the heavens being torn open: it is not clear whether onlookers also so saw this. At the turning point in the story, as the group starts out for Je</w:t>
      </w:r>
      <w:r w:rsidR="00E61FFC">
        <w:t>rusalem, Jesus asks “who do people say I am?”</w:t>
      </w:r>
      <w:r w:rsidR="00480113">
        <w:t xml:space="preserve"> (8:27)</w:t>
      </w:r>
      <w:r w:rsidR="00E61FFC">
        <w:t>. This would seem to come as a result of the “hidden Messiah” and enigmatic quality</w:t>
      </w:r>
      <w:r w:rsidR="00267072">
        <w:t xml:space="preserve">, </w:t>
      </w:r>
      <w:r w:rsidR="00E61FFC">
        <w:t>leading to speculation and confusion</w:t>
      </w:r>
      <w:r w:rsidR="00267072">
        <w:t xml:space="preserve"> and perhaps it </w:t>
      </w:r>
      <w:r w:rsidR="009934C9">
        <w:t xml:space="preserve">can be seen as </w:t>
      </w:r>
      <w:r w:rsidR="00267072">
        <w:t xml:space="preserve">the intention to provoke this question in hearers. Peter has reached the understanding: “You are the Christ”. Peter declares him to be the </w:t>
      </w:r>
      <w:r w:rsidR="00480113">
        <w:t>anointed</w:t>
      </w:r>
      <w:r w:rsidR="00267072">
        <w:t xml:space="preserve"> one from God. </w:t>
      </w:r>
      <w:r w:rsidR="00A66DB5">
        <w:t xml:space="preserve">Shortly afterwards, selected disciples witness the transfiguration(9:2-7) and hear the voice. </w:t>
      </w:r>
      <w:r w:rsidR="00480113">
        <w:t xml:space="preserve">Finally, </w:t>
      </w:r>
      <w:r w:rsidR="00A17443">
        <w:t>at the moment of death, the curtain of the temple is torn in two. This is not explained but from an understanding of Jewish tradition, it can be interpreted as Christ’s death opening a direct path</w:t>
      </w:r>
      <w:r w:rsidR="00A17443" w:rsidRPr="00A17443">
        <w:t>, without intermediaries</w:t>
      </w:r>
      <w:r w:rsidR="00A17443">
        <w:t xml:space="preserve">, to God for all. </w:t>
      </w:r>
    </w:p>
    <w:p w:rsidR="003E3E6A" w:rsidRDefault="003E3E6A" w:rsidP="00912D9C"/>
    <w:p w:rsidR="003E3E6A" w:rsidRDefault="003E3E6A" w:rsidP="00912D9C">
      <w:r>
        <w:t>&lt;&lt;&lt; Not seen the “suffering” bit of “servant” &gt;&gt;&gt;</w:t>
      </w:r>
    </w:p>
    <w:p w:rsidR="002911A8" w:rsidRDefault="002911A8" w:rsidP="00912D9C">
      <w:r>
        <w:t xml:space="preserve">In the introduction and </w:t>
      </w:r>
      <w:r w:rsidR="00BA2A39">
        <w:t xml:space="preserve"> </w:t>
      </w:r>
    </w:p>
    <w:sdt>
      <w:sdtPr>
        <w:id w:val="-1266993689"/>
        <w:docPartObj>
          <w:docPartGallery w:val="Bibliographies"/>
          <w:docPartUnique/>
        </w:docPartObj>
      </w:sdtPr>
      <w:sdtEndPr>
        <w:rPr>
          <w:rFonts w:asciiTheme="minorHAnsi" w:eastAsiaTheme="minorHAnsi" w:hAnsiTheme="minorHAnsi" w:cstheme="minorBidi"/>
          <w:color w:val="auto"/>
          <w:sz w:val="22"/>
          <w:szCs w:val="22"/>
        </w:rPr>
      </w:sdtEndPr>
      <w:sdtContent>
        <w:p w:rsidR="00912D9C" w:rsidRDefault="00912D9C" w:rsidP="00912D9C">
          <w:pPr>
            <w:pStyle w:val="Heading1"/>
            <w:pBdr>
              <w:top w:val="single" w:sz="4" w:space="1" w:color="auto"/>
            </w:pBdr>
          </w:pPr>
          <w:r>
            <w:t>Bibliography</w:t>
          </w:r>
        </w:p>
        <w:sdt>
          <w:sdtPr>
            <w:id w:val="111145805"/>
            <w:bibliography/>
          </w:sdtPr>
          <w:sdtContent>
            <w:p w:rsidR="002D2DC8" w:rsidRDefault="00912D9C" w:rsidP="002D2DC8">
              <w:pPr>
                <w:pStyle w:val="Bibliography"/>
                <w:rPr>
                  <w:noProof/>
                  <w:sz w:val="24"/>
                  <w:szCs w:val="24"/>
                </w:rPr>
              </w:pPr>
              <w:r>
                <w:fldChar w:fldCharType="begin"/>
              </w:r>
              <w:r>
                <w:instrText xml:space="preserve"> BIBLIOGRAPHY </w:instrText>
              </w:r>
              <w:r>
                <w:fldChar w:fldCharType="separate"/>
              </w:r>
              <w:r w:rsidR="002D2DC8">
                <w:rPr>
                  <w:noProof/>
                </w:rPr>
                <w:t xml:space="preserve">Bayer, H. F., 2011. Introduction to Th eGospl According to Mark. In: </w:t>
              </w:r>
              <w:r w:rsidR="002D2DC8">
                <w:rPr>
                  <w:i/>
                  <w:iCs/>
                  <w:noProof/>
                </w:rPr>
                <w:t xml:space="preserve">English Standard Version Study Bible. </w:t>
              </w:r>
              <w:r w:rsidR="002D2DC8">
                <w:rPr>
                  <w:noProof/>
                </w:rPr>
                <w:t>Wheaton IL.: Crossway.</w:t>
              </w:r>
            </w:p>
            <w:p w:rsidR="002D2DC8" w:rsidRDefault="002D2DC8" w:rsidP="002D2DC8">
              <w:pPr>
                <w:pStyle w:val="Bibliography"/>
                <w:rPr>
                  <w:noProof/>
                </w:rPr>
              </w:pPr>
              <w:r>
                <w:rPr>
                  <w:noProof/>
                </w:rPr>
                <w:t xml:space="preserve">Boxall, I., 2007. </w:t>
              </w:r>
              <w:r>
                <w:rPr>
                  <w:i/>
                  <w:iCs/>
                  <w:noProof/>
                </w:rPr>
                <w:t xml:space="preserve">Th eBooks of the New Testament. </w:t>
              </w:r>
              <w:r>
                <w:rPr>
                  <w:noProof/>
                </w:rPr>
                <w:t>London: SCM Press.</w:t>
              </w:r>
            </w:p>
            <w:p w:rsidR="002D2DC8" w:rsidRDefault="002D2DC8" w:rsidP="002D2DC8">
              <w:pPr>
                <w:pStyle w:val="Bibliography"/>
                <w:rPr>
                  <w:noProof/>
                </w:rPr>
              </w:pPr>
              <w:r>
                <w:rPr>
                  <w:noProof/>
                </w:rPr>
                <w:t xml:space="preserve">Hooker, M., 1991. </w:t>
              </w:r>
              <w:r>
                <w:rPr>
                  <w:i/>
                  <w:iCs/>
                  <w:noProof/>
                </w:rPr>
                <w:t xml:space="preserve">The Gospel According to St Mark. </w:t>
              </w:r>
              <w:r>
                <w:rPr>
                  <w:noProof/>
                </w:rPr>
                <w:t>London: A &amp; C Black.</w:t>
              </w:r>
            </w:p>
            <w:p w:rsidR="002D2DC8" w:rsidRDefault="002D2DC8" w:rsidP="002D2DC8">
              <w:pPr>
                <w:pStyle w:val="Bibliography"/>
                <w:rPr>
                  <w:noProof/>
                </w:rPr>
              </w:pPr>
              <w:r>
                <w:rPr>
                  <w:noProof/>
                </w:rPr>
                <w:t xml:space="preserve">Swift, C. G., 1970. Mark. In: D. Guthrie, J. Motyer, A. Stibbs &amp; D. Wiseman, eds. </w:t>
              </w:r>
              <w:r>
                <w:rPr>
                  <w:i/>
                  <w:iCs/>
                  <w:noProof/>
                </w:rPr>
                <w:t xml:space="preserve">New Bible Commentary. </w:t>
              </w:r>
              <w:r>
                <w:rPr>
                  <w:noProof/>
                </w:rPr>
                <w:t>Leicester: InterVarsity Press.</w:t>
              </w:r>
            </w:p>
            <w:p w:rsidR="002D2DC8" w:rsidRDefault="002D2DC8" w:rsidP="002D2DC8">
              <w:pPr>
                <w:pStyle w:val="Bibliography"/>
                <w:rPr>
                  <w:noProof/>
                </w:rPr>
              </w:pPr>
              <w:r>
                <w:rPr>
                  <w:noProof/>
                </w:rPr>
                <w:t xml:space="preserve">Telford, W., 2003. </w:t>
              </w:r>
              <w:r>
                <w:rPr>
                  <w:i/>
                  <w:iCs/>
                  <w:noProof/>
                </w:rPr>
                <w:t xml:space="preserve">Mark. </w:t>
              </w:r>
              <w:r>
                <w:rPr>
                  <w:noProof/>
                </w:rPr>
                <w:t>London: T&amp;L Clark International.</w:t>
              </w:r>
            </w:p>
            <w:p w:rsidR="002D2DC8" w:rsidRDefault="002D2DC8" w:rsidP="002D2DC8">
              <w:pPr>
                <w:pStyle w:val="Bibliography"/>
                <w:rPr>
                  <w:noProof/>
                </w:rPr>
              </w:pPr>
              <w:r>
                <w:rPr>
                  <w:noProof/>
                </w:rPr>
                <w:t xml:space="preserve">The St Padarn Institute, 2015. </w:t>
              </w:r>
              <w:r>
                <w:rPr>
                  <w:i/>
                  <w:iCs/>
                  <w:noProof/>
                </w:rPr>
                <w:t xml:space="preserve">Beginning the New Testament. </w:t>
              </w:r>
              <w:r>
                <w:rPr>
                  <w:noProof/>
                </w:rPr>
                <w:t>(Course Notes) ed. s.l.:The Church in Wales.</w:t>
              </w:r>
            </w:p>
            <w:p w:rsidR="00912D9C" w:rsidRDefault="00912D9C" w:rsidP="002D2DC8">
              <w:r>
                <w:rPr>
                  <w:b/>
                  <w:bCs/>
                  <w:noProof/>
                </w:rPr>
                <w:fldChar w:fldCharType="end"/>
              </w:r>
            </w:p>
          </w:sdtContent>
        </w:sdt>
      </w:sdtContent>
    </w:sdt>
    <w:p w:rsidR="00912D9C" w:rsidRPr="00912D9C" w:rsidRDefault="00912D9C" w:rsidP="00912D9C"/>
    <w:sectPr w:rsidR="00912D9C" w:rsidRPr="00912D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3704" w:rsidRDefault="00E53704" w:rsidP="00F515CA">
      <w:pPr>
        <w:spacing w:after="0" w:line="240" w:lineRule="auto"/>
      </w:pPr>
      <w:r>
        <w:separator/>
      </w:r>
    </w:p>
  </w:endnote>
  <w:endnote w:type="continuationSeparator" w:id="0">
    <w:p w:rsidR="00E53704" w:rsidRDefault="00E53704" w:rsidP="00F51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3704" w:rsidRDefault="00E53704" w:rsidP="00F515CA">
      <w:pPr>
        <w:spacing w:after="0" w:line="240" w:lineRule="auto"/>
      </w:pPr>
      <w:r>
        <w:separator/>
      </w:r>
    </w:p>
  </w:footnote>
  <w:footnote w:type="continuationSeparator" w:id="0">
    <w:p w:rsidR="00E53704" w:rsidRDefault="00E53704" w:rsidP="00F515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5CA"/>
    <w:rsid w:val="00023AF5"/>
    <w:rsid w:val="00032EF6"/>
    <w:rsid w:val="000733E6"/>
    <w:rsid w:val="00073AB9"/>
    <w:rsid w:val="000A2656"/>
    <w:rsid w:val="000C5EF7"/>
    <w:rsid w:val="000E7371"/>
    <w:rsid w:val="00117FD2"/>
    <w:rsid w:val="001B0F4E"/>
    <w:rsid w:val="001D0518"/>
    <w:rsid w:val="00266D90"/>
    <w:rsid w:val="00267072"/>
    <w:rsid w:val="002911A8"/>
    <w:rsid w:val="002C4E48"/>
    <w:rsid w:val="002D2DC8"/>
    <w:rsid w:val="00347BFB"/>
    <w:rsid w:val="003B6B3D"/>
    <w:rsid w:val="003E3021"/>
    <w:rsid w:val="003E3E6A"/>
    <w:rsid w:val="003F5E99"/>
    <w:rsid w:val="00407214"/>
    <w:rsid w:val="00424342"/>
    <w:rsid w:val="004323A9"/>
    <w:rsid w:val="00480113"/>
    <w:rsid w:val="0049751B"/>
    <w:rsid w:val="004B78C5"/>
    <w:rsid w:val="00536039"/>
    <w:rsid w:val="0057575D"/>
    <w:rsid w:val="005F25D8"/>
    <w:rsid w:val="006775E6"/>
    <w:rsid w:val="006B6016"/>
    <w:rsid w:val="006B79FA"/>
    <w:rsid w:val="006F0185"/>
    <w:rsid w:val="007057C2"/>
    <w:rsid w:val="00764A0D"/>
    <w:rsid w:val="007700C2"/>
    <w:rsid w:val="007816C0"/>
    <w:rsid w:val="007C472D"/>
    <w:rsid w:val="007D33A5"/>
    <w:rsid w:val="007F5B3A"/>
    <w:rsid w:val="008158E5"/>
    <w:rsid w:val="00860889"/>
    <w:rsid w:val="008C4A4E"/>
    <w:rsid w:val="008F4119"/>
    <w:rsid w:val="00912D9C"/>
    <w:rsid w:val="00933693"/>
    <w:rsid w:val="00976B71"/>
    <w:rsid w:val="009934C9"/>
    <w:rsid w:val="009F0D9E"/>
    <w:rsid w:val="00A17443"/>
    <w:rsid w:val="00A27247"/>
    <w:rsid w:val="00A34B48"/>
    <w:rsid w:val="00A66DB5"/>
    <w:rsid w:val="00AA5B11"/>
    <w:rsid w:val="00AB6D85"/>
    <w:rsid w:val="00AD22E4"/>
    <w:rsid w:val="00B63354"/>
    <w:rsid w:val="00BA2558"/>
    <w:rsid w:val="00BA2A39"/>
    <w:rsid w:val="00BC779D"/>
    <w:rsid w:val="00BE7068"/>
    <w:rsid w:val="00C73106"/>
    <w:rsid w:val="00CD7760"/>
    <w:rsid w:val="00D77217"/>
    <w:rsid w:val="00E53704"/>
    <w:rsid w:val="00E5629A"/>
    <w:rsid w:val="00E57B20"/>
    <w:rsid w:val="00E61FFC"/>
    <w:rsid w:val="00E67BC4"/>
    <w:rsid w:val="00E85638"/>
    <w:rsid w:val="00EC4F75"/>
    <w:rsid w:val="00F515CA"/>
    <w:rsid w:val="00FC1BFB"/>
    <w:rsid w:val="00FE6B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5EF164-CAB3-432A-9DD8-5746BD9DB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15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15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15CA"/>
  </w:style>
  <w:style w:type="paragraph" w:styleId="Footer">
    <w:name w:val="footer"/>
    <w:basedOn w:val="Normal"/>
    <w:link w:val="FooterChar"/>
    <w:uiPriority w:val="99"/>
    <w:unhideWhenUsed/>
    <w:rsid w:val="00F515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15CA"/>
  </w:style>
  <w:style w:type="character" w:customStyle="1" w:styleId="Heading1Char">
    <w:name w:val="Heading 1 Char"/>
    <w:basedOn w:val="DefaultParagraphFont"/>
    <w:link w:val="Heading1"/>
    <w:uiPriority w:val="9"/>
    <w:rsid w:val="00F515CA"/>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F515CA"/>
    <w:pPr>
      <w:numPr>
        <w:ilvl w:val="1"/>
      </w:numPr>
      <w:spacing w:line="480" w:lineRule="auto"/>
    </w:pPr>
    <w:rPr>
      <w:rFonts w:ascii="Times New Roman" w:eastAsiaTheme="minorEastAsia" w:hAnsi="Times New Roman"/>
      <w:color w:val="5A5A5A" w:themeColor="text1" w:themeTint="A5"/>
      <w:spacing w:val="15"/>
      <w:sz w:val="24"/>
    </w:rPr>
  </w:style>
  <w:style w:type="character" w:customStyle="1" w:styleId="SubtitleChar">
    <w:name w:val="Subtitle Char"/>
    <w:basedOn w:val="DefaultParagraphFont"/>
    <w:link w:val="Subtitle"/>
    <w:uiPriority w:val="11"/>
    <w:rsid w:val="00F515CA"/>
    <w:rPr>
      <w:rFonts w:ascii="Times New Roman" w:eastAsiaTheme="minorEastAsia" w:hAnsi="Times New Roman"/>
      <w:color w:val="5A5A5A" w:themeColor="text1" w:themeTint="A5"/>
      <w:spacing w:val="15"/>
      <w:sz w:val="24"/>
    </w:rPr>
  </w:style>
  <w:style w:type="paragraph" w:styleId="FootnoteText">
    <w:name w:val="footnote text"/>
    <w:basedOn w:val="Normal"/>
    <w:link w:val="FootnoteTextChar"/>
    <w:uiPriority w:val="99"/>
    <w:semiHidden/>
    <w:unhideWhenUsed/>
    <w:rsid w:val="007700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00C2"/>
    <w:rPr>
      <w:sz w:val="20"/>
      <w:szCs w:val="20"/>
    </w:rPr>
  </w:style>
  <w:style w:type="character" w:styleId="FootnoteReference">
    <w:name w:val="footnote reference"/>
    <w:basedOn w:val="DefaultParagraphFont"/>
    <w:uiPriority w:val="99"/>
    <w:semiHidden/>
    <w:unhideWhenUsed/>
    <w:rsid w:val="007700C2"/>
    <w:rPr>
      <w:vertAlign w:val="superscript"/>
    </w:rPr>
  </w:style>
  <w:style w:type="paragraph" w:styleId="Bibliography">
    <w:name w:val="Bibliography"/>
    <w:basedOn w:val="Normal"/>
    <w:next w:val="Normal"/>
    <w:uiPriority w:val="37"/>
    <w:unhideWhenUsed/>
    <w:rsid w:val="007F5B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32844">
      <w:bodyDiv w:val="1"/>
      <w:marLeft w:val="0"/>
      <w:marRight w:val="0"/>
      <w:marTop w:val="0"/>
      <w:marBottom w:val="0"/>
      <w:divBdr>
        <w:top w:val="none" w:sz="0" w:space="0" w:color="auto"/>
        <w:left w:val="none" w:sz="0" w:space="0" w:color="auto"/>
        <w:bottom w:val="none" w:sz="0" w:space="0" w:color="auto"/>
        <w:right w:val="none" w:sz="0" w:space="0" w:color="auto"/>
      </w:divBdr>
    </w:div>
    <w:div w:id="103308836">
      <w:bodyDiv w:val="1"/>
      <w:marLeft w:val="0"/>
      <w:marRight w:val="0"/>
      <w:marTop w:val="0"/>
      <w:marBottom w:val="0"/>
      <w:divBdr>
        <w:top w:val="none" w:sz="0" w:space="0" w:color="auto"/>
        <w:left w:val="none" w:sz="0" w:space="0" w:color="auto"/>
        <w:bottom w:val="none" w:sz="0" w:space="0" w:color="auto"/>
        <w:right w:val="none" w:sz="0" w:space="0" w:color="auto"/>
      </w:divBdr>
    </w:div>
    <w:div w:id="220680959">
      <w:bodyDiv w:val="1"/>
      <w:marLeft w:val="0"/>
      <w:marRight w:val="0"/>
      <w:marTop w:val="0"/>
      <w:marBottom w:val="0"/>
      <w:divBdr>
        <w:top w:val="none" w:sz="0" w:space="0" w:color="auto"/>
        <w:left w:val="none" w:sz="0" w:space="0" w:color="auto"/>
        <w:bottom w:val="none" w:sz="0" w:space="0" w:color="auto"/>
        <w:right w:val="none" w:sz="0" w:space="0" w:color="auto"/>
      </w:divBdr>
    </w:div>
    <w:div w:id="247080314">
      <w:bodyDiv w:val="1"/>
      <w:marLeft w:val="0"/>
      <w:marRight w:val="0"/>
      <w:marTop w:val="0"/>
      <w:marBottom w:val="0"/>
      <w:divBdr>
        <w:top w:val="none" w:sz="0" w:space="0" w:color="auto"/>
        <w:left w:val="none" w:sz="0" w:space="0" w:color="auto"/>
        <w:bottom w:val="none" w:sz="0" w:space="0" w:color="auto"/>
        <w:right w:val="none" w:sz="0" w:space="0" w:color="auto"/>
      </w:divBdr>
    </w:div>
    <w:div w:id="327175650">
      <w:bodyDiv w:val="1"/>
      <w:marLeft w:val="0"/>
      <w:marRight w:val="0"/>
      <w:marTop w:val="0"/>
      <w:marBottom w:val="0"/>
      <w:divBdr>
        <w:top w:val="none" w:sz="0" w:space="0" w:color="auto"/>
        <w:left w:val="none" w:sz="0" w:space="0" w:color="auto"/>
        <w:bottom w:val="none" w:sz="0" w:space="0" w:color="auto"/>
        <w:right w:val="none" w:sz="0" w:space="0" w:color="auto"/>
      </w:divBdr>
    </w:div>
    <w:div w:id="357120044">
      <w:bodyDiv w:val="1"/>
      <w:marLeft w:val="0"/>
      <w:marRight w:val="0"/>
      <w:marTop w:val="0"/>
      <w:marBottom w:val="0"/>
      <w:divBdr>
        <w:top w:val="none" w:sz="0" w:space="0" w:color="auto"/>
        <w:left w:val="none" w:sz="0" w:space="0" w:color="auto"/>
        <w:bottom w:val="none" w:sz="0" w:space="0" w:color="auto"/>
        <w:right w:val="none" w:sz="0" w:space="0" w:color="auto"/>
      </w:divBdr>
    </w:div>
    <w:div w:id="378091897">
      <w:bodyDiv w:val="1"/>
      <w:marLeft w:val="0"/>
      <w:marRight w:val="0"/>
      <w:marTop w:val="0"/>
      <w:marBottom w:val="0"/>
      <w:divBdr>
        <w:top w:val="none" w:sz="0" w:space="0" w:color="auto"/>
        <w:left w:val="none" w:sz="0" w:space="0" w:color="auto"/>
        <w:bottom w:val="none" w:sz="0" w:space="0" w:color="auto"/>
        <w:right w:val="none" w:sz="0" w:space="0" w:color="auto"/>
      </w:divBdr>
    </w:div>
    <w:div w:id="440303315">
      <w:bodyDiv w:val="1"/>
      <w:marLeft w:val="0"/>
      <w:marRight w:val="0"/>
      <w:marTop w:val="0"/>
      <w:marBottom w:val="0"/>
      <w:divBdr>
        <w:top w:val="none" w:sz="0" w:space="0" w:color="auto"/>
        <w:left w:val="none" w:sz="0" w:space="0" w:color="auto"/>
        <w:bottom w:val="none" w:sz="0" w:space="0" w:color="auto"/>
        <w:right w:val="none" w:sz="0" w:space="0" w:color="auto"/>
      </w:divBdr>
    </w:div>
    <w:div w:id="467864518">
      <w:bodyDiv w:val="1"/>
      <w:marLeft w:val="0"/>
      <w:marRight w:val="0"/>
      <w:marTop w:val="0"/>
      <w:marBottom w:val="0"/>
      <w:divBdr>
        <w:top w:val="none" w:sz="0" w:space="0" w:color="auto"/>
        <w:left w:val="none" w:sz="0" w:space="0" w:color="auto"/>
        <w:bottom w:val="none" w:sz="0" w:space="0" w:color="auto"/>
        <w:right w:val="none" w:sz="0" w:space="0" w:color="auto"/>
      </w:divBdr>
    </w:div>
    <w:div w:id="523176371">
      <w:bodyDiv w:val="1"/>
      <w:marLeft w:val="0"/>
      <w:marRight w:val="0"/>
      <w:marTop w:val="0"/>
      <w:marBottom w:val="0"/>
      <w:divBdr>
        <w:top w:val="none" w:sz="0" w:space="0" w:color="auto"/>
        <w:left w:val="none" w:sz="0" w:space="0" w:color="auto"/>
        <w:bottom w:val="none" w:sz="0" w:space="0" w:color="auto"/>
        <w:right w:val="none" w:sz="0" w:space="0" w:color="auto"/>
      </w:divBdr>
    </w:div>
    <w:div w:id="550044172">
      <w:bodyDiv w:val="1"/>
      <w:marLeft w:val="0"/>
      <w:marRight w:val="0"/>
      <w:marTop w:val="0"/>
      <w:marBottom w:val="0"/>
      <w:divBdr>
        <w:top w:val="none" w:sz="0" w:space="0" w:color="auto"/>
        <w:left w:val="none" w:sz="0" w:space="0" w:color="auto"/>
        <w:bottom w:val="none" w:sz="0" w:space="0" w:color="auto"/>
        <w:right w:val="none" w:sz="0" w:space="0" w:color="auto"/>
      </w:divBdr>
    </w:div>
    <w:div w:id="554512717">
      <w:bodyDiv w:val="1"/>
      <w:marLeft w:val="0"/>
      <w:marRight w:val="0"/>
      <w:marTop w:val="0"/>
      <w:marBottom w:val="0"/>
      <w:divBdr>
        <w:top w:val="none" w:sz="0" w:space="0" w:color="auto"/>
        <w:left w:val="none" w:sz="0" w:space="0" w:color="auto"/>
        <w:bottom w:val="none" w:sz="0" w:space="0" w:color="auto"/>
        <w:right w:val="none" w:sz="0" w:space="0" w:color="auto"/>
      </w:divBdr>
    </w:div>
    <w:div w:id="609895723">
      <w:bodyDiv w:val="1"/>
      <w:marLeft w:val="0"/>
      <w:marRight w:val="0"/>
      <w:marTop w:val="0"/>
      <w:marBottom w:val="0"/>
      <w:divBdr>
        <w:top w:val="none" w:sz="0" w:space="0" w:color="auto"/>
        <w:left w:val="none" w:sz="0" w:space="0" w:color="auto"/>
        <w:bottom w:val="none" w:sz="0" w:space="0" w:color="auto"/>
        <w:right w:val="none" w:sz="0" w:space="0" w:color="auto"/>
      </w:divBdr>
    </w:div>
    <w:div w:id="757215440">
      <w:bodyDiv w:val="1"/>
      <w:marLeft w:val="0"/>
      <w:marRight w:val="0"/>
      <w:marTop w:val="0"/>
      <w:marBottom w:val="0"/>
      <w:divBdr>
        <w:top w:val="none" w:sz="0" w:space="0" w:color="auto"/>
        <w:left w:val="none" w:sz="0" w:space="0" w:color="auto"/>
        <w:bottom w:val="none" w:sz="0" w:space="0" w:color="auto"/>
        <w:right w:val="none" w:sz="0" w:space="0" w:color="auto"/>
      </w:divBdr>
    </w:div>
    <w:div w:id="819887963">
      <w:bodyDiv w:val="1"/>
      <w:marLeft w:val="0"/>
      <w:marRight w:val="0"/>
      <w:marTop w:val="0"/>
      <w:marBottom w:val="0"/>
      <w:divBdr>
        <w:top w:val="none" w:sz="0" w:space="0" w:color="auto"/>
        <w:left w:val="none" w:sz="0" w:space="0" w:color="auto"/>
        <w:bottom w:val="none" w:sz="0" w:space="0" w:color="auto"/>
        <w:right w:val="none" w:sz="0" w:space="0" w:color="auto"/>
      </w:divBdr>
    </w:div>
    <w:div w:id="874193752">
      <w:bodyDiv w:val="1"/>
      <w:marLeft w:val="0"/>
      <w:marRight w:val="0"/>
      <w:marTop w:val="0"/>
      <w:marBottom w:val="0"/>
      <w:divBdr>
        <w:top w:val="none" w:sz="0" w:space="0" w:color="auto"/>
        <w:left w:val="none" w:sz="0" w:space="0" w:color="auto"/>
        <w:bottom w:val="none" w:sz="0" w:space="0" w:color="auto"/>
        <w:right w:val="none" w:sz="0" w:space="0" w:color="auto"/>
      </w:divBdr>
    </w:div>
    <w:div w:id="909266653">
      <w:bodyDiv w:val="1"/>
      <w:marLeft w:val="0"/>
      <w:marRight w:val="0"/>
      <w:marTop w:val="0"/>
      <w:marBottom w:val="0"/>
      <w:divBdr>
        <w:top w:val="none" w:sz="0" w:space="0" w:color="auto"/>
        <w:left w:val="none" w:sz="0" w:space="0" w:color="auto"/>
        <w:bottom w:val="none" w:sz="0" w:space="0" w:color="auto"/>
        <w:right w:val="none" w:sz="0" w:space="0" w:color="auto"/>
      </w:divBdr>
    </w:div>
    <w:div w:id="964391165">
      <w:bodyDiv w:val="1"/>
      <w:marLeft w:val="0"/>
      <w:marRight w:val="0"/>
      <w:marTop w:val="0"/>
      <w:marBottom w:val="0"/>
      <w:divBdr>
        <w:top w:val="none" w:sz="0" w:space="0" w:color="auto"/>
        <w:left w:val="none" w:sz="0" w:space="0" w:color="auto"/>
        <w:bottom w:val="none" w:sz="0" w:space="0" w:color="auto"/>
        <w:right w:val="none" w:sz="0" w:space="0" w:color="auto"/>
      </w:divBdr>
    </w:div>
    <w:div w:id="1134061752">
      <w:bodyDiv w:val="1"/>
      <w:marLeft w:val="0"/>
      <w:marRight w:val="0"/>
      <w:marTop w:val="0"/>
      <w:marBottom w:val="0"/>
      <w:divBdr>
        <w:top w:val="none" w:sz="0" w:space="0" w:color="auto"/>
        <w:left w:val="none" w:sz="0" w:space="0" w:color="auto"/>
        <w:bottom w:val="none" w:sz="0" w:space="0" w:color="auto"/>
        <w:right w:val="none" w:sz="0" w:space="0" w:color="auto"/>
      </w:divBdr>
    </w:div>
    <w:div w:id="1183473200">
      <w:bodyDiv w:val="1"/>
      <w:marLeft w:val="0"/>
      <w:marRight w:val="0"/>
      <w:marTop w:val="0"/>
      <w:marBottom w:val="0"/>
      <w:divBdr>
        <w:top w:val="none" w:sz="0" w:space="0" w:color="auto"/>
        <w:left w:val="none" w:sz="0" w:space="0" w:color="auto"/>
        <w:bottom w:val="none" w:sz="0" w:space="0" w:color="auto"/>
        <w:right w:val="none" w:sz="0" w:space="0" w:color="auto"/>
      </w:divBdr>
    </w:div>
    <w:div w:id="1286162319">
      <w:bodyDiv w:val="1"/>
      <w:marLeft w:val="0"/>
      <w:marRight w:val="0"/>
      <w:marTop w:val="0"/>
      <w:marBottom w:val="0"/>
      <w:divBdr>
        <w:top w:val="none" w:sz="0" w:space="0" w:color="auto"/>
        <w:left w:val="none" w:sz="0" w:space="0" w:color="auto"/>
        <w:bottom w:val="none" w:sz="0" w:space="0" w:color="auto"/>
        <w:right w:val="none" w:sz="0" w:space="0" w:color="auto"/>
      </w:divBdr>
    </w:div>
    <w:div w:id="1293711862">
      <w:bodyDiv w:val="1"/>
      <w:marLeft w:val="0"/>
      <w:marRight w:val="0"/>
      <w:marTop w:val="0"/>
      <w:marBottom w:val="0"/>
      <w:divBdr>
        <w:top w:val="none" w:sz="0" w:space="0" w:color="auto"/>
        <w:left w:val="none" w:sz="0" w:space="0" w:color="auto"/>
        <w:bottom w:val="none" w:sz="0" w:space="0" w:color="auto"/>
        <w:right w:val="none" w:sz="0" w:space="0" w:color="auto"/>
      </w:divBdr>
    </w:div>
    <w:div w:id="1311403288">
      <w:bodyDiv w:val="1"/>
      <w:marLeft w:val="0"/>
      <w:marRight w:val="0"/>
      <w:marTop w:val="0"/>
      <w:marBottom w:val="0"/>
      <w:divBdr>
        <w:top w:val="none" w:sz="0" w:space="0" w:color="auto"/>
        <w:left w:val="none" w:sz="0" w:space="0" w:color="auto"/>
        <w:bottom w:val="none" w:sz="0" w:space="0" w:color="auto"/>
        <w:right w:val="none" w:sz="0" w:space="0" w:color="auto"/>
      </w:divBdr>
    </w:div>
    <w:div w:id="1357729328">
      <w:bodyDiv w:val="1"/>
      <w:marLeft w:val="0"/>
      <w:marRight w:val="0"/>
      <w:marTop w:val="0"/>
      <w:marBottom w:val="0"/>
      <w:divBdr>
        <w:top w:val="none" w:sz="0" w:space="0" w:color="auto"/>
        <w:left w:val="none" w:sz="0" w:space="0" w:color="auto"/>
        <w:bottom w:val="none" w:sz="0" w:space="0" w:color="auto"/>
        <w:right w:val="none" w:sz="0" w:space="0" w:color="auto"/>
      </w:divBdr>
    </w:div>
    <w:div w:id="1498768578">
      <w:bodyDiv w:val="1"/>
      <w:marLeft w:val="0"/>
      <w:marRight w:val="0"/>
      <w:marTop w:val="0"/>
      <w:marBottom w:val="0"/>
      <w:divBdr>
        <w:top w:val="none" w:sz="0" w:space="0" w:color="auto"/>
        <w:left w:val="none" w:sz="0" w:space="0" w:color="auto"/>
        <w:bottom w:val="none" w:sz="0" w:space="0" w:color="auto"/>
        <w:right w:val="none" w:sz="0" w:space="0" w:color="auto"/>
      </w:divBdr>
    </w:div>
    <w:div w:id="1501507537">
      <w:bodyDiv w:val="1"/>
      <w:marLeft w:val="0"/>
      <w:marRight w:val="0"/>
      <w:marTop w:val="0"/>
      <w:marBottom w:val="0"/>
      <w:divBdr>
        <w:top w:val="none" w:sz="0" w:space="0" w:color="auto"/>
        <w:left w:val="none" w:sz="0" w:space="0" w:color="auto"/>
        <w:bottom w:val="none" w:sz="0" w:space="0" w:color="auto"/>
        <w:right w:val="none" w:sz="0" w:space="0" w:color="auto"/>
      </w:divBdr>
    </w:div>
    <w:div w:id="1523665817">
      <w:bodyDiv w:val="1"/>
      <w:marLeft w:val="0"/>
      <w:marRight w:val="0"/>
      <w:marTop w:val="0"/>
      <w:marBottom w:val="0"/>
      <w:divBdr>
        <w:top w:val="none" w:sz="0" w:space="0" w:color="auto"/>
        <w:left w:val="none" w:sz="0" w:space="0" w:color="auto"/>
        <w:bottom w:val="none" w:sz="0" w:space="0" w:color="auto"/>
        <w:right w:val="none" w:sz="0" w:space="0" w:color="auto"/>
      </w:divBdr>
    </w:div>
    <w:div w:id="1591548680">
      <w:bodyDiv w:val="1"/>
      <w:marLeft w:val="0"/>
      <w:marRight w:val="0"/>
      <w:marTop w:val="0"/>
      <w:marBottom w:val="0"/>
      <w:divBdr>
        <w:top w:val="none" w:sz="0" w:space="0" w:color="auto"/>
        <w:left w:val="none" w:sz="0" w:space="0" w:color="auto"/>
        <w:bottom w:val="none" w:sz="0" w:space="0" w:color="auto"/>
        <w:right w:val="none" w:sz="0" w:space="0" w:color="auto"/>
      </w:divBdr>
    </w:div>
    <w:div w:id="1638102082">
      <w:bodyDiv w:val="1"/>
      <w:marLeft w:val="0"/>
      <w:marRight w:val="0"/>
      <w:marTop w:val="0"/>
      <w:marBottom w:val="0"/>
      <w:divBdr>
        <w:top w:val="none" w:sz="0" w:space="0" w:color="auto"/>
        <w:left w:val="none" w:sz="0" w:space="0" w:color="auto"/>
        <w:bottom w:val="none" w:sz="0" w:space="0" w:color="auto"/>
        <w:right w:val="none" w:sz="0" w:space="0" w:color="auto"/>
      </w:divBdr>
    </w:div>
    <w:div w:id="1853566746">
      <w:bodyDiv w:val="1"/>
      <w:marLeft w:val="0"/>
      <w:marRight w:val="0"/>
      <w:marTop w:val="0"/>
      <w:marBottom w:val="0"/>
      <w:divBdr>
        <w:top w:val="none" w:sz="0" w:space="0" w:color="auto"/>
        <w:left w:val="none" w:sz="0" w:space="0" w:color="auto"/>
        <w:bottom w:val="none" w:sz="0" w:space="0" w:color="auto"/>
        <w:right w:val="none" w:sz="0" w:space="0" w:color="auto"/>
      </w:divBdr>
    </w:div>
    <w:div w:id="1916548000">
      <w:bodyDiv w:val="1"/>
      <w:marLeft w:val="0"/>
      <w:marRight w:val="0"/>
      <w:marTop w:val="0"/>
      <w:marBottom w:val="0"/>
      <w:divBdr>
        <w:top w:val="none" w:sz="0" w:space="0" w:color="auto"/>
        <w:left w:val="none" w:sz="0" w:space="0" w:color="auto"/>
        <w:bottom w:val="none" w:sz="0" w:space="0" w:color="auto"/>
        <w:right w:val="none" w:sz="0" w:space="0" w:color="auto"/>
      </w:divBdr>
    </w:div>
    <w:div w:id="1924681131">
      <w:bodyDiv w:val="1"/>
      <w:marLeft w:val="0"/>
      <w:marRight w:val="0"/>
      <w:marTop w:val="0"/>
      <w:marBottom w:val="0"/>
      <w:divBdr>
        <w:top w:val="none" w:sz="0" w:space="0" w:color="auto"/>
        <w:left w:val="none" w:sz="0" w:space="0" w:color="auto"/>
        <w:bottom w:val="none" w:sz="0" w:space="0" w:color="auto"/>
        <w:right w:val="none" w:sz="0" w:space="0" w:color="auto"/>
      </w:divBdr>
    </w:div>
    <w:div w:id="1969192839">
      <w:bodyDiv w:val="1"/>
      <w:marLeft w:val="0"/>
      <w:marRight w:val="0"/>
      <w:marTop w:val="0"/>
      <w:marBottom w:val="0"/>
      <w:divBdr>
        <w:top w:val="none" w:sz="0" w:space="0" w:color="auto"/>
        <w:left w:val="none" w:sz="0" w:space="0" w:color="auto"/>
        <w:bottom w:val="none" w:sz="0" w:space="0" w:color="auto"/>
        <w:right w:val="none" w:sz="0" w:space="0" w:color="auto"/>
      </w:divBdr>
    </w:div>
    <w:div w:id="2029141325">
      <w:bodyDiv w:val="1"/>
      <w:marLeft w:val="0"/>
      <w:marRight w:val="0"/>
      <w:marTop w:val="0"/>
      <w:marBottom w:val="0"/>
      <w:divBdr>
        <w:top w:val="none" w:sz="0" w:space="0" w:color="auto"/>
        <w:left w:val="none" w:sz="0" w:space="0" w:color="auto"/>
        <w:bottom w:val="none" w:sz="0" w:space="0" w:color="auto"/>
        <w:right w:val="none" w:sz="0" w:space="0" w:color="auto"/>
      </w:divBdr>
    </w:div>
    <w:div w:id="2066751800">
      <w:bodyDiv w:val="1"/>
      <w:marLeft w:val="0"/>
      <w:marRight w:val="0"/>
      <w:marTop w:val="0"/>
      <w:marBottom w:val="0"/>
      <w:divBdr>
        <w:top w:val="none" w:sz="0" w:space="0" w:color="auto"/>
        <w:left w:val="none" w:sz="0" w:space="0" w:color="auto"/>
        <w:bottom w:val="none" w:sz="0" w:space="0" w:color="auto"/>
        <w:right w:val="none" w:sz="0" w:space="0" w:color="auto"/>
      </w:divBdr>
    </w:div>
    <w:div w:id="2103450796">
      <w:bodyDiv w:val="1"/>
      <w:marLeft w:val="0"/>
      <w:marRight w:val="0"/>
      <w:marTop w:val="0"/>
      <w:marBottom w:val="0"/>
      <w:divBdr>
        <w:top w:val="none" w:sz="0" w:space="0" w:color="auto"/>
        <w:left w:val="none" w:sz="0" w:space="0" w:color="auto"/>
        <w:bottom w:val="none" w:sz="0" w:space="0" w:color="auto"/>
        <w:right w:val="none" w:sz="0" w:space="0" w:color="auto"/>
      </w:divBdr>
    </w:div>
    <w:div w:id="2139369526">
      <w:bodyDiv w:val="1"/>
      <w:marLeft w:val="0"/>
      <w:marRight w:val="0"/>
      <w:marTop w:val="0"/>
      <w:marBottom w:val="0"/>
      <w:divBdr>
        <w:top w:val="none" w:sz="0" w:space="0" w:color="auto"/>
        <w:left w:val="none" w:sz="0" w:space="0" w:color="auto"/>
        <w:bottom w:val="none" w:sz="0" w:space="0" w:color="auto"/>
        <w:right w:val="none" w:sz="0" w:space="0" w:color="auto"/>
      </w:divBdr>
    </w:div>
    <w:div w:id="213963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Box07</b:Tag>
    <b:SourceType>Book</b:SourceType>
    <b:Guid>{61C4D76A-03FA-4208-AADB-8116D902360E}</b:Guid>
    <b:Title>Th eBooks of the New Testament</b:Title>
    <b:Year>2007</b:Year>
    <b:City>London</b:City>
    <b:Publisher>SCM Press</b:Publisher>
    <b:Author>
      <b:Author>
        <b:NameList>
          <b:Person>
            <b:Last>Boxall</b:Last>
            <b:First>Ian</b:First>
          </b:Person>
        </b:NameList>
      </b:Author>
    </b:Author>
    <b:RefOrder>1</b:RefOrder>
  </b:Source>
  <b:Source>
    <b:Tag>Bay</b:Tag>
    <b:SourceType>BookSection</b:SourceType>
    <b:Guid>{A0FD2D18-C18D-48EA-B9D3-3F767E18773D}</b:Guid>
    <b:Author>
      <b:Author>
        <b:NameList>
          <b:Person>
            <b:Last>Bayer</b:Last>
            <b:Middle>F.</b:Middle>
            <b:First>Hans</b:First>
          </b:Person>
        </b:NameList>
      </b:Author>
    </b:Author>
    <b:Title>Introduction to Th eGospl According to Mark</b:Title>
    <b:Year>2011</b:Year>
    <b:City>Wheaton IL.</b:City>
    <b:Publisher>Crossway</b:Publisher>
    <b:BookTitle>English Standard Version Study Bible</b:BookTitle>
    <b:RefOrder>2</b:RefOrder>
  </b:Source>
  <b:Source>
    <b:Tag>Tel03</b:Tag>
    <b:SourceType>Book</b:SourceType>
    <b:Guid>{FE7993E7-E0A7-4AE6-92AB-502CB5BDBF85}</b:Guid>
    <b:Title>Mark</b:Title>
    <b:Year>2003</b:Year>
    <b:City>London</b:City>
    <b:Publisher>T&amp;L Clark International</b:Publisher>
    <b:Author>
      <b:Author>
        <b:NameList>
          <b:Person>
            <b:Last>Telford</b:Last>
            <b:First>W.R.</b:First>
          </b:Person>
        </b:NameList>
      </b:Author>
    </b:Author>
    <b:RefOrder>5</b:RefOrder>
  </b:Source>
  <b:Source>
    <b:Tag>Swi70</b:Tag>
    <b:SourceType>BookSection</b:SourceType>
    <b:Guid>{32D0AA51-3C52-4136-AD43-1048DA684073}</b:Guid>
    <b:Title>Mark</b:Title>
    <b:Year>1970</b:Year>
    <b:Author>
      <b:Author>
        <b:NameList>
          <b:Person>
            <b:Last>Swift</b:Last>
            <b:First>C.E. Graham</b:First>
          </b:Person>
        </b:NameList>
      </b:Author>
      <b:Editor>
        <b:NameList>
          <b:Person>
            <b:Last>Guthrie</b:Last>
            <b:First>D.</b:First>
          </b:Person>
          <b:Person>
            <b:Last>Motyer</b:Last>
            <b:First>J.A.</b:First>
          </b:Person>
          <b:Person>
            <b:Last>Stibbs</b:Last>
            <b:First>A.M.</b:First>
          </b:Person>
          <b:Person>
            <b:Last>Wiseman</b:Last>
            <b:First>D.</b:First>
          </b:Person>
        </b:NameList>
      </b:Editor>
    </b:Author>
    <b:BookTitle>New Bible Commentary</b:BookTitle>
    <b:City>Leicester</b:City>
    <b:Publisher>InterVarsity Press</b:Publisher>
    <b:RefOrder>3</b:RefOrder>
  </b:Source>
  <b:Source>
    <b:Tag>The15</b:Tag>
    <b:SourceType>Book</b:SourceType>
    <b:Guid>{70CACDD4-F7AB-40A0-B489-4BF3B4A47005}</b:Guid>
    <b:Author>
      <b:Author>
        <b:Corporate>The St Padarn Institute</b:Corporate>
      </b:Author>
    </b:Author>
    <b:Title>Beginning the New Testament</b:Title>
    <b:Year>2015</b:Year>
    <b:Publisher>The Church in Wales</b:Publisher>
    <b:Edition>(Course Notes)</b:Edition>
    <b:RefOrder>4</b:RefOrder>
  </b:Source>
  <b:Source>
    <b:Tag>Hoo91</b:Tag>
    <b:SourceType>Book</b:SourceType>
    <b:Guid>{B5E43AC1-02B2-44DE-AAD7-77FDD037643A}</b:Guid>
    <b:Title>The Gospel According to St Mark</b:Title>
    <b:Year>1991</b:Year>
    <b:City>London</b:City>
    <b:Publisher>A &amp; C Black</b:Publisher>
    <b:Author>
      <b:Author>
        <b:NameList>
          <b:Person>
            <b:Last>Hooker</b:Last>
            <b:First>M.D.</b:First>
          </b:Person>
        </b:NameList>
      </b:Author>
    </b:Author>
    <b:RefOrder>6</b:RefOrder>
  </b:Source>
</b:Sources>
</file>

<file path=customXml/itemProps1.xml><?xml version="1.0" encoding="utf-8"?>
<ds:datastoreItem xmlns:ds="http://schemas.openxmlformats.org/officeDocument/2006/customXml" ds:itemID="{A835E1BA-FC15-4A34-BBF3-EB8FABF5A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2</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nwh</dc:creator>
  <cp:keywords/>
  <dc:description/>
  <cp:lastModifiedBy>nwh</cp:lastModifiedBy>
  <cp:revision>55</cp:revision>
  <dcterms:created xsi:type="dcterms:W3CDTF">2016-03-31T08:11:00Z</dcterms:created>
  <dcterms:modified xsi:type="dcterms:W3CDTF">2016-04-01T14:30:00Z</dcterms:modified>
</cp:coreProperties>
</file>