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FE" w:rsidRPr="00BE0591" w:rsidRDefault="00B71201" w:rsidP="00B71201">
      <w:pPr>
        <w:pStyle w:val="Title"/>
      </w:pPr>
      <w:r w:rsidRPr="00BE0591">
        <w:t>How might Morning and/or</w:t>
      </w:r>
      <w:r w:rsidR="00B12774" w:rsidRPr="00BE0591">
        <w:t xml:space="preserve"> Evening P</w:t>
      </w:r>
      <w:r w:rsidRPr="00BE0591">
        <w:t>rayer be used as a resource to enable the life of the church</w:t>
      </w:r>
    </w:p>
    <w:p w:rsidR="00B71201" w:rsidRPr="00BE0591" w:rsidRDefault="00B71201" w:rsidP="00B71201">
      <w:pPr>
        <w:pStyle w:val="Subtitle"/>
        <w:pBdr>
          <w:bottom w:val="single" w:sz="4" w:space="1" w:color="auto"/>
        </w:pBdr>
      </w:pPr>
      <w:r w:rsidRPr="00BE0591">
        <w:t>Nigel Hardy</w:t>
      </w:r>
    </w:p>
    <w:p w:rsidR="00B71201" w:rsidRPr="00BE0591" w:rsidRDefault="00B71201">
      <w:pPr>
        <w:rPr>
          <w:color w:val="FF0000"/>
        </w:rPr>
      </w:pPr>
      <w:r w:rsidRPr="00BE0591">
        <w:rPr>
          <w:color w:val="FF0000"/>
        </w:rPr>
        <w:fldChar w:fldCharType="begin"/>
      </w:r>
      <w:r w:rsidRPr="00BE0591">
        <w:rPr>
          <w:color w:val="FF0000"/>
        </w:rPr>
        <w:instrText xml:space="preserve"> NUMWORDS   \* MERGEFORMAT </w:instrText>
      </w:r>
      <w:r w:rsidRPr="00BE0591">
        <w:rPr>
          <w:color w:val="FF0000"/>
        </w:rPr>
        <w:fldChar w:fldCharType="separate"/>
      </w:r>
      <w:r w:rsidR="00967D07" w:rsidRPr="00BE0591">
        <w:rPr>
          <w:noProof/>
          <w:color w:val="FF0000"/>
        </w:rPr>
        <w:t>217</w:t>
      </w:r>
      <w:r w:rsidRPr="00BE0591">
        <w:rPr>
          <w:color w:val="FF0000"/>
        </w:rPr>
        <w:fldChar w:fldCharType="end"/>
      </w:r>
    </w:p>
    <w:p w:rsidR="00C47D79" w:rsidRPr="00BE0591" w:rsidRDefault="00B609E2">
      <w:r w:rsidRPr="00BE0591">
        <w:t>Morning</w:t>
      </w:r>
      <w:r w:rsidR="00684264" w:rsidRPr="00BE0591">
        <w:t xml:space="preserve"> and evening prayer support</w:t>
      </w:r>
      <w:r w:rsidR="00774028">
        <w:t>s</w:t>
      </w:r>
      <w:r w:rsidR="00684264" w:rsidRPr="00BE0591">
        <w:t xml:space="preserve"> </w:t>
      </w:r>
      <w:r w:rsidR="00C47D79" w:rsidRPr="00BE0591">
        <w:t xml:space="preserve">five </w:t>
      </w:r>
      <w:r w:rsidR="00684264" w:rsidRPr="00BE0591">
        <w:t xml:space="preserve">significant </w:t>
      </w:r>
      <w:r w:rsidR="00C47D79" w:rsidRPr="00BE0591">
        <w:t xml:space="preserve">aspects </w:t>
      </w:r>
      <w:r w:rsidRPr="00BE0591">
        <w:t>of church life:</w:t>
      </w:r>
      <w:r w:rsidR="00C47D79" w:rsidRPr="00BE0591">
        <w:t xml:space="preserve"> </w:t>
      </w:r>
      <w:r w:rsidR="00400FA3">
        <w:t>praise</w:t>
      </w:r>
      <w:r w:rsidR="00C47D79" w:rsidRPr="00BE0591">
        <w:t>, prayer, community, learning for s</w:t>
      </w:r>
      <w:r w:rsidRPr="00BE0591">
        <w:t xml:space="preserve">piritual growth and evangelism; in ways </w:t>
      </w:r>
      <w:r w:rsidR="00BE04FA" w:rsidRPr="00BE0591">
        <w:t xml:space="preserve">that </w:t>
      </w:r>
      <w:r w:rsidRPr="00BE0591">
        <w:t xml:space="preserve">can be integrated regularly and frequently into </w:t>
      </w:r>
      <w:r w:rsidR="00BE04FA" w:rsidRPr="00BE0591">
        <w:t xml:space="preserve">the </w:t>
      </w:r>
      <w:r w:rsidRPr="00BE0591">
        <w:t>everyday life of the individual and the c</w:t>
      </w:r>
      <w:r w:rsidR="00DB73B4" w:rsidRPr="00BE0591">
        <w:t>h</w:t>
      </w:r>
      <w:r w:rsidRPr="00BE0591">
        <w:t>urch.</w:t>
      </w:r>
      <w:r w:rsidR="00277D67">
        <w:t xml:space="preserve"> </w:t>
      </w:r>
    </w:p>
    <w:p w:rsidR="00C47D79" w:rsidRDefault="0063588F">
      <w:r w:rsidRPr="00BE0591">
        <w:t>Morning and evening prayer “concentrate on prayer and praise” in the style of the ancient people’</w:t>
      </w:r>
      <w:r w:rsidR="00403A9D" w:rsidRPr="00BE0591">
        <w:t>s services</w:t>
      </w:r>
      <w:r w:rsidRPr="00BE0591">
        <w:t xml:space="preserve"> </w:t>
      </w:r>
      <w:sdt>
        <w:sdtPr>
          <w:id w:val="-697157059"/>
          <w:citation/>
        </w:sdtPr>
        <w:sdtEndPr/>
        <w:sdtContent>
          <w:r w:rsidR="00403A9D" w:rsidRPr="00BE0591">
            <w:fldChar w:fldCharType="begin"/>
          </w:r>
          <w:r w:rsidR="00403A9D" w:rsidRPr="00BE0591">
            <w:instrText xml:space="preserve">CITATION white \p 149 \l 1106 </w:instrText>
          </w:r>
          <w:r w:rsidR="00403A9D" w:rsidRPr="00BE0591">
            <w:fldChar w:fldCharType="separate"/>
          </w:r>
          <w:r w:rsidR="00967D07" w:rsidRPr="00BE0591">
            <w:rPr>
              <w:noProof/>
            </w:rPr>
            <w:t>(White, 2001, p. 149)</w:t>
          </w:r>
          <w:r w:rsidR="00403A9D" w:rsidRPr="00BE0591">
            <w:fldChar w:fldCharType="end"/>
          </w:r>
        </w:sdtContent>
      </w:sdt>
      <w:r w:rsidR="00403A9D" w:rsidRPr="00BE0591">
        <w:t>.</w:t>
      </w:r>
      <w:r w:rsidR="004B415B" w:rsidRPr="00BE0591">
        <w:t xml:space="preserve"> </w:t>
      </w:r>
      <w:r w:rsidR="00E37A79" w:rsidRPr="00BE0591">
        <w:t>“to offer him praise and thanksgiving” is one of the three stated aims of the meeting in the minister’</w:t>
      </w:r>
      <w:r w:rsidR="00AD4F2B" w:rsidRPr="00BE0591">
        <w:t xml:space="preserve">s </w:t>
      </w:r>
      <w:r w:rsidR="00604BC5">
        <w:t>words</w:t>
      </w:r>
      <w:r w:rsidR="00AD4F2B" w:rsidRPr="00BE0591">
        <w:t xml:space="preserve"> in the </w:t>
      </w:r>
      <w:r w:rsidR="00BE0591" w:rsidRPr="00BE0591">
        <w:t xml:space="preserve">prayers of penitence </w:t>
      </w:r>
      <w:r w:rsidR="00604BC5">
        <w:t xml:space="preserve">introduction. Alternative introductions and canticles and possibly hymns, songs or anthems </w:t>
      </w:r>
      <w:r w:rsidR="00774028">
        <w:t xml:space="preserve">take this forward through the service. </w:t>
      </w:r>
    </w:p>
    <w:p w:rsidR="00B609E2" w:rsidRDefault="00400FA3">
      <w:r>
        <w:t xml:space="preserve">The </w:t>
      </w:r>
      <w:r w:rsidR="00774028">
        <w:t xml:space="preserve">third major section of the services is prayer. </w:t>
      </w:r>
      <w:r w:rsidR="00E55C02">
        <w:t xml:space="preserve">Prayer is considered an essential part of spiritual life and development and as White notes, </w:t>
      </w:r>
      <w:r w:rsidR="007427F2">
        <w:t xml:space="preserve">regular public prayer provides the discipline to support private prayer, while private prayer brings energy and focus to public prayer </w:t>
      </w:r>
      <w:sdt>
        <w:sdtPr>
          <w:id w:val="1584101788"/>
          <w:citation/>
        </w:sdtPr>
        <w:sdtEndPr/>
        <w:sdtContent>
          <w:r w:rsidR="007427F2">
            <w:fldChar w:fldCharType="begin"/>
          </w:r>
          <w:r w:rsidR="007427F2">
            <w:instrText xml:space="preserve">CITATION white \p 14 \l 2057 </w:instrText>
          </w:r>
          <w:r w:rsidR="007427F2">
            <w:fldChar w:fldCharType="separate"/>
          </w:r>
          <w:r w:rsidR="007427F2" w:rsidRPr="007427F2">
            <w:rPr>
              <w:noProof/>
            </w:rPr>
            <w:t>(White, 2001, p. 14)</w:t>
          </w:r>
          <w:r w:rsidR="007427F2">
            <w:fldChar w:fldCharType="end"/>
          </w:r>
        </w:sdtContent>
      </w:sdt>
      <w:r w:rsidR="007461A7">
        <w:t xml:space="preserve">. </w:t>
      </w:r>
      <w:r w:rsidR="00541F6D">
        <w:t>Pubic prayer should provide encouragement for personal prayer in that pubic context</w:t>
      </w:r>
      <w:sdt>
        <w:sdtPr>
          <w:id w:val="-1279952022"/>
          <w:citation/>
        </w:sdtPr>
        <w:sdtEndPr/>
        <w:sdtContent>
          <w:r w:rsidR="00541F6D">
            <w:fldChar w:fldCharType="begin"/>
          </w:r>
          <w:r w:rsidR="00541F6D">
            <w:instrText xml:space="preserve">CITATION Mye02 \p 100 \l 2057 </w:instrText>
          </w:r>
          <w:r w:rsidR="00541F6D">
            <w:fldChar w:fldCharType="separate"/>
          </w:r>
          <w:r w:rsidR="00541F6D">
            <w:rPr>
              <w:noProof/>
            </w:rPr>
            <w:t xml:space="preserve"> </w:t>
          </w:r>
          <w:r w:rsidR="00541F6D" w:rsidRPr="00541F6D">
            <w:rPr>
              <w:noProof/>
            </w:rPr>
            <w:t>(Myers, 2002, p. 100)</w:t>
          </w:r>
          <w:r w:rsidR="00541F6D">
            <w:fldChar w:fldCharType="end"/>
          </w:r>
        </w:sdtContent>
      </w:sdt>
      <w:r w:rsidR="001A7419">
        <w:t>.</w:t>
      </w:r>
    </w:p>
    <w:p w:rsidR="001A7419" w:rsidRPr="00C21E0D" w:rsidRDefault="001A7419">
      <w:r>
        <w:t xml:space="preserve">Coming together for daily prayer is a major opportunity for creation and strengthening of the church community. </w:t>
      </w:r>
      <w:r w:rsidR="00C21E0D">
        <w:t xml:space="preserve">It is an opportunity to come together in Christ’s name to be those called out from the wold as the </w:t>
      </w:r>
      <w:r w:rsidR="00C21E0D">
        <w:rPr>
          <w:i/>
        </w:rPr>
        <w:t>ekklesía</w:t>
      </w:r>
      <w:r w:rsidR="00C21E0D">
        <w:t xml:space="preserve"> </w:t>
      </w:r>
      <w:sdt>
        <w:sdtPr>
          <w:id w:val="1163655683"/>
          <w:citation/>
        </w:sdtPr>
        <w:sdtContent>
          <w:r w:rsidR="00C21E0D">
            <w:fldChar w:fldCharType="begin"/>
          </w:r>
          <w:r w:rsidR="00C21E0D">
            <w:instrText xml:space="preserve">CITATION white \p 29 \l 2057 </w:instrText>
          </w:r>
          <w:r w:rsidR="00C21E0D">
            <w:fldChar w:fldCharType="separate"/>
          </w:r>
          <w:r w:rsidR="00C21E0D" w:rsidRPr="00C21E0D">
            <w:rPr>
              <w:noProof/>
            </w:rPr>
            <w:t>(White, 2001, p. 29)</w:t>
          </w:r>
          <w:r w:rsidR="00C21E0D">
            <w:fldChar w:fldCharType="end"/>
          </w:r>
        </w:sdtContent>
      </w:sdt>
      <w:r w:rsidR="00C21E0D">
        <w:t xml:space="preserve">. </w:t>
      </w:r>
      <w:bookmarkStart w:id="0" w:name="_GoBack"/>
      <w:bookmarkEnd w:id="0"/>
    </w:p>
    <w:p w:rsidR="00B609E2" w:rsidRPr="00BE0591" w:rsidRDefault="00705392" w:rsidP="00CE5ACD">
      <w:r w:rsidRPr="00BE0591">
        <w:t xml:space="preserve">White states that </w:t>
      </w:r>
      <w:r w:rsidR="00B67F05" w:rsidRPr="00BE0591">
        <w:t xml:space="preserve">the Reformers tended to make </w:t>
      </w:r>
      <w:r w:rsidRPr="00BE0591">
        <w:t xml:space="preserve">“edification </w:t>
      </w:r>
      <w:r w:rsidR="00B67F05" w:rsidRPr="00BE0591">
        <w:t xml:space="preserve">the </w:t>
      </w:r>
      <w:r w:rsidRPr="00BE0591">
        <w:t>chief function of daily worship”</w:t>
      </w:r>
      <w:sdt>
        <w:sdtPr>
          <w:id w:val="1252772635"/>
          <w:citation/>
        </w:sdtPr>
        <w:sdtEndPr/>
        <w:sdtContent>
          <w:r w:rsidR="00B67F05" w:rsidRPr="00BE0591">
            <w:fldChar w:fldCharType="begin"/>
          </w:r>
          <w:r w:rsidR="00B67F05" w:rsidRPr="00BE0591">
            <w:instrText xml:space="preserve">CITATION white \p 148 \l 1106 </w:instrText>
          </w:r>
          <w:r w:rsidR="00B67F05" w:rsidRPr="00BE0591">
            <w:fldChar w:fldCharType="separate"/>
          </w:r>
          <w:r w:rsidR="00967D07" w:rsidRPr="00BE0591">
            <w:rPr>
              <w:noProof/>
            </w:rPr>
            <w:t xml:space="preserve"> (White, 2001, p. 148)</w:t>
          </w:r>
          <w:r w:rsidR="00B67F05" w:rsidRPr="00BE0591">
            <w:fldChar w:fldCharType="end"/>
          </w:r>
        </w:sdtContent>
      </w:sdt>
      <w:r w:rsidRPr="00BE0591">
        <w:t>. Th</w:t>
      </w:r>
      <w:r w:rsidR="00CE5ACD" w:rsidRPr="00BE0591">
        <w:t>e</w:t>
      </w:r>
      <w:r w:rsidR="00B67F05" w:rsidRPr="00BE0591">
        <w:t xml:space="preserve"> </w:t>
      </w:r>
      <w:r w:rsidR="00CE5ACD" w:rsidRPr="00BE0591">
        <w:t>major variabl</w:t>
      </w:r>
      <w:r w:rsidR="00B67F05" w:rsidRPr="00BE0591">
        <w:t>e part</w:t>
      </w:r>
      <w:r w:rsidR="00CE5ACD" w:rsidRPr="00BE0591">
        <w:t xml:space="preserve"> of the service (</w:t>
      </w:r>
      <w:r w:rsidR="00774028">
        <w:t xml:space="preserve">the </w:t>
      </w:r>
      <w:r w:rsidR="00CE5ACD" w:rsidRPr="00BE0591">
        <w:t>propers) - the Ministry of the word -</w:t>
      </w:r>
      <w:r w:rsidR="00DE5C72" w:rsidRPr="00BE0591">
        <w:t xml:space="preserve"> provides for one or two readings. If a lectionary is followed, broad coverage of the scriptures will be achieved over time and </w:t>
      </w:r>
      <w:r w:rsidR="00CE5ACD" w:rsidRPr="00BE0591">
        <w:t xml:space="preserve">a note instructs “care should be taken to observe, as far as possible, the principle of reading Holy Scripture in course.” (BCP, 2009, p. 17) to ensure continuity. </w:t>
      </w:r>
      <w:r w:rsidR="00B67F05" w:rsidRPr="00BE0591">
        <w:t xml:space="preserve">While </w:t>
      </w:r>
      <w:r w:rsidR="00297C73" w:rsidRPr="00BE0591">
        <w:t>the comprehensive coverage</w:t>
      </w:r>
      <w:r w:rsidR="002855A7" w:rsidRPr="00BE0591">
        <w:t xml:space="preserve"> specified in earlier </w:t>
      </w:r>
      <w:r w:rsidR="00A13052" w:rsidRPr="00BE0591">
        <w:t>forms has been lost, and</w:t>
      </w:r>
      <w:r w:rsidR="00297C73" w:rsidRPr="00BE0591">
        <w:t xml:space="preserve"> </w:t>
      </w:r>
      <w:r w:rsidR="00B12774" w:rsidRPr="00BE0591">
        <w:t xml:space="preserve">White suggests that the chief concern should be with prayer and praise, </w:t>
      </w:r>
      <w:r w:rsidR="00DE5E52" w:rsidRPr="00BE0591">
        <w:t>some regular</w:t>
      </w:r>
      <w:r w:rsidR="00B12774" w:rsidRPr="00BE0591">
        <w:t xml:space="preserve"> disciplined reading of the scripture is encouraged. </w:t>
      </w:r>
      <w:r w:rsidR="004B415B" w:rsidRPr="00BE0591">
        <w:t xml:space="preserve">If a sermon is preached </w:t>
      </w:r>
      <w:sdt>
        <w:sdtPr>
          <w:id w:val="-540128701"/>
          <w:citation/>
        </w:sdtPr>
        <w:sdtEndPr/>
        <w:sdtContent>
          <w:r w:rsidR="004B415B" w:rsidRPr="00BE0591">
            <w:fldChar w:fldCharType="begin"/>
          </w:r>
          <w:r w:rsidR="004B415B" w:rsidRPr="00BE0591">
            <w:instrText xml:space="preserve">CITATION BCP2009 \p 15 \l 2057 </w:instrText>
          </w:r>
          <w:r w:rsidR="004B415B" w:rsidRPr="00BE0591">
            <w:fldChar w:fldCharType="separate"/>
          </w:r>
          <w:r w:rsidR="004B415B" w:rsidRPr="00BE0591">
            <w:rPr>
              <w:noProof/>
            </w:rPr>
            <w:t>(BCP, 2009, p. 15)</w:t>
          </w:r>
          <w:r w:rsidR="004B415B" w:rsidRPr="00BE0591">
            <w:fldChar w:fldCharType="end"/>
          </w:r>
        </w:sdtContent>
      </w:sdt>
      <w:r w:rsidR="004B415B" w:rsidRPr="00BE0591">
        <w:t xml:space="preserve"> this may be augmented. </w:t>
      </w:r>
    </w:p>
    <w:p w:rsidR="004D0358" w:rsidRDefault="003F7703" w:rsidP="004D0358">
      <w:pPr>
        <w:spacing w:after="0" w:line="240" w:lineRule="auto"/>
      </w:pPr>
      <w:r w:rsidRPr="00BE0591">
        <w:t xml:space="preserve">Evangelism is served by the </w:t>
      </w:r>
      <w:r w:rsidR="0084762C" w:rsidRPr="00BE0591">
        <w:t xml:space="preserve">regular witness. </w:t>
      </w:r>
      <w:r w:rsidR="004D0358" w:rsidRPr="00BE0591">
        <w:t>“it is the duty of the clergy to say these two offices each day, preferably in church after tolling the bell.</w:t>
      </w:r>
      <w:r w:rsidRPr="00BE0591">
        <w:t>”</w:t>
      </w:r>
      <w:sdt>
        <w:sdtPr>
          <w:id w:val="189419951"/>
          <w:citation/>
        </w:sdtPr>
        <w:sdtEndPr/>
        <w:sdtContent>
          <w:r w:rsidRPr="00BE0591">
            <w:fldChar w:fldCharType="begin"/>
          </w:r>
          <w:r w:rsidRPr="00BE0591">
            <w:instrText xml:space="preserve">CITATION BCP2009 \p 15 \l 1106 </w:instrText>
          </w:r>
          <w:r w:rsidRPr="00BE0591">
            <w:fldChar w:fldCharType="separate"/>
          </w:r>
          <w:r w:rsidR="00967D07" w:rsidRPr="00BE0591">
            <w:rPr>
              <w:noProof/>
            </w:rPr>
            <w:t xml:space="preserve"> (BCP, 2009, p. 15)</w:t>
          </w:r>
          <w:r w:rsidRPr="00BE0591">
            <w:fldChar w:fldCharType="end"/>
          </w:r>
        </w:sdtContent>
      </w:sdt>
      <w:r w:rsidR="0084762C" w:rsidRPr="00BE0591">
        <w:t>.</w:t>
      </w:r>
      <w:r w:rsidR="004C73CB" w:rsidRPr="00BE0591">
        <w:t xml:space="preserve"> Visible and regular attendance and “doing something” by a minister and by other church members can provide to local people, both at the edge of and beyond the faith community </w:t>
      </w:r>
      <w:r w:rsidR="00763FAC" w:rsidRPr="00BE0591">
        <w:t xml:space="preserve">a constant advertisement of the </w:t>
      </w:r>
      <w:r w:rsidR="00BE0591" w:rsidRPr="00BE0591">
        <w:t>availability</w:t>
      </w:r>
      <w:r w:rsidR="00763FAC" w:rsidRPr="00BE0591">
        <w:t xml:space="preserve"> of the church and of God’s love. </w:t>
      </w:r>
      <w:r w:rsidR="004C73CB" w:rsidRPr="00BE0591">
        <w:t xml:space="preserve"> </w:t>
      </w:r>
      <w:r w:rsidR="00BE0591" w:rsidRPr="00BE0591">
        <w:t>Further</w:t>
      </w:r>
      <w:r w:rsidR="004C73CB" w:rsidRPr="00BE0591">
        <w:t xml:space="preserve">, a stated aim </w:t>
      </w:r>
      <w:r w:rsidR="00763FAC" w:rsidRPr="00BE0591">
        <w:t xml:space="preserve">in the preface </w:t>
      </w:r>
      <w:r w:rsidR="004C73CB" w:rsidRPr="00BE0591">
        <w:t xml:space="preserve">of the 2009 services </w:t>
      </w:r>
      <w:sdt>
        <w:sdtPr>
          <w:id w:val="-416246341"/>
          <w:citation/>
        </w:sdtPr>
        <w:sdtEndPr/>
        <w:sdtContent>
          <w:r w:rsidR="00763FAC" w:rsidRPr="00BE0591">
            <w:fldChar w:fldCharType="begin"/>
          </w:r>
          <w:r w:rsidR="00763FAC" w:rsidRPr="00BE0591">
            <w:instrText xml:space="preserve">CITATION BCP2009 \p 9 \l 2057 </w:instrText>
          </w:r>
          <w:r w:rsidR="00763FAC" w:rsidRPr="00BE0591">
            <w:fldChar w:fldCharType="separate"/>
          </w:r>
          <w:r w:rsidR="00763FAC" w:rsidRPr="00BE0591">
            <w:rPr>
              <w:noProof/>
            </w:rPr>
            <w:t>(BCP, 2009, p. 9)</w:t>
          </w:r>
          <w:r w:rsidR="00763FAC" w:rsidRPr="00BE0591">
            <w:fldChar w:fldCharType="end"/>
          </w:r>
        </w:sdtContent>
      </w:sdt>
      <w:r w:rsidR="00763FAC" w:rsidRPr="00BE0591">
        <w:t xml:space="preserve"> is to make this liturgy accessible through a </w:t>
      </w:r>
      <w:r w:rsidR="00BE0591" w:rsidRPr="00BE0591">
        <w:t>contemporary</w:t>
      </w:r>
      <w:r w:rsidR="00763FAC" w:rsidRPr="00BE0591">
        <w:t xml:space="preserve"> style. </w:t>
      </w:r>
    </w:p>
    <w:p w:rsidR="006A63AD" w:rsidRDefault="006A63AD" w:rsidP="004D0358">
      <w:pPr>
        <w:spacing w:after="0" w:line="240" w:lineRule="auto"/>
      </w:pPr>
    </w:p>
    <w:p w:rsidR="00C17DC6" w:rsidRDefault="00D045DE" w:rsidP="004D0358">
      <w:pPr>
        <w:spacing w:after="0" w:line="240" w:lineRule="auto"/>
      </w:pPr>
      <w:r>
        <w:t>The</w:t>
      </w:r>
      <w:r w:rsidR="003C2C54">
        <w:t xml:space="preserve"> regular </w:t>
      </w:r>
      <w:r>
        <w:t xml:space="preserve">availability of </w:t>
      </w:r>
      <w:r w:rsidR="003C2C54">
        <w:t>daily prayer</w:t>
      </w:r>
      <w:r>
        <w:t xml:space="preserve"> corporately or privately</w:t>
      </w:r>
      <w:r w:rsidR="003C2C54">
        <w:t xml:space="preserve"> </w:t>
      </w:r>
      <w:r w:rsidR="00465D96">
        <w:t>is intended to provide</w:t>
      </w:r>
      <w:r w:rsidR="003C2C54">
        <w:t xml:space="preserve"> discipline </w:t>
      </w:r>
      <w:r w:rsidR="00465D96">
        <w:t>for</w:t>
      </w:r>
      <w:r w:rsidR="003C2C54">
        <w:t xml:space="preserve"> encounters with God as </w:t>
      </w:r>
      <w:r w:rsidR="00465D96">
        <w:t xml:space="preserve">encouraged by the scriptures (e.g 1. Thes 5:17) and </w:t>
      </w:r>
      <w:r w:rsidR="003C2C54">
        <w:t xml:space="preserve">recommended and practiced by the early church </w:t>
      </w:r>
      <w:r w:rsidR="00465D96">
        <w:t xml:space="preserve">through into the late mediaeval period. </w:t>
      </w:r>
      <w:sdt>
        <w:sdtPr>
          <w:id w:val="114188417"/>
          <w:citation/>
        </w:sdtPr>
        <w:sdtEndPr/>
        <w:sdtContent>
          <w:r w:rsidR="00465D96">
            <w:fldChar w:fldCharType="begin"/>
          </w:r>
          <w:r w:rsidR="00465D96">
            <w:instrText xml:space="preserve">CITATION white \p "132 et seq." \l 2057 </w:instrText>
          </w:r>
          <w:r w:rsidR="00465D96">
            <w:fldChar w:fldCharType="separate"/>
          </w:r>
          <w:r w:rsidR="00465D96" w:rsidRPr="00465D96">
            <w:rPr>
              <w:noProof/>
            </w:rPr>
            <w:t>(White, 2001, p. 132 et seq.)</w:t>
          </w:r>
          <w:r w:rsidR="00465D96">
            <w:fldChar w:fldCharType="end"/>
          </w:r>
        </w:sdtContent>
      </w:sdt>
      <w:r w:rsidR="00465D96">
        <w:t xml:space="preserve">. </w:t>
      </w:r>
      <w:r w:rsidR="00704DB9">
        <w:lastRenderedPageBreak/>
        <w:t>Take</w:t>
      </w:r>
      <w:r w:rsidR="00133005">
        <w:t>-</w:t>
      </w:r>
      <w:r w:rsidR="00704DB9">
        <w:t>up is encourage</w:t>
      </w:r>
      <w:r w:rsidR="00465D96">
        <w:t xml:space="preserve"> is encouraged by </w:t>
      </w:r>
      <w:r w:rsidR="00995C77">
        <w:t>four</w:t>
      </w:r>
      <w:r w:rsidR="00277D67">
        <w:t xml:space="preserve"> major features: brevity, familiarity</w:t>
      </w:r>
      <w:r w:rsidR="00C17DC6">
        <w:t>,</w:t>
      </w:r>
      <w:r w:rsidR="00277D67">
        <w:t xml:space="preserve"> </w:t>
      </w:r>
      <w:r w:rsidR="00D315AC">
        <w:t xml:space="preserve">accessibility </w:t>
      </w:r>
      <w:r w:rsidR="005222D2">
        <w:t xml:space="preserve">and </w:t>
      </w:r>
      <w:r w:rsidR="00704DB9">
        <w:t xml:space="preserve">the </w:t>
      </w:r>
      <w:r w:rsidR="005222D2">
        <w:t xml:space="preserve">potential </w:t>
      </w:r>
      <w:r w:rsidR="00C17DC6">
        <w:t>integration with daily life.</w:t>
      </w:r>
    </w:p>
    <w:p w:rsidR="00C17DC6" w:rsidRDefault="00C17DC6" w:rsidP="004D0358">
      <w:pPr>
        <w:spacing w:after="0" w:line="240" w:lineRule="auto"/>
      </w:pPr>
    </w:p>
    <w:p w:rsidR="00C17DC6" w:rsidRDefault="00680AE5" w:rsidP="004D0358">
      <w:pPr>
        <w:spacing w:after="0" w:line="240" w:lineRule="auto"/>
      </w:pPr>
      <w:r>
        <w:t xml:space="preserve">Through choice of appropriate alternatives the services can be </w:t>
      </w:r>
      <w:r w:rsidR="00C17DC6">
        <w:t xml:space="preserve">usefully </w:t>
      </w:r>
      <w:r>
        <w:t>covered is a short time</w:t>
      </w:r>
      <w:r w:rsidR="00C17DC6">
        <w:t xml:space="preserve"> and thus be attractive to incorporate regularly into busy lives. A simple introduction; the single reading pattern for the ministry of the word; no hymns or anthems; a brief but targeted set of intersessions can make a </w:t>
      </w:r>
      <w:r w:rsidR="00C41129">
        <w:t xml:space="preserve">meaningful and rewarding service in under 20 minutes. </w:t>
      </w:r>
    </w:p>
    <w:p w:rsidR="00A74BDA" w:rsidRDefault="00A74BDA" w:rsidP="004D0358">
      <w:pPr>
        <w:spacing w:after="0" w:line="240" w:lineRule="auto"/>
      </w:pPr>
    </w:p>
    <w:p w:rsidR="00CF1AD2" w:rsidRDefault="009F66A3" w:rsidP="004D0358">
      <w:pPr>
        <w:spacing w:after="0" w:line="240" w:lineRule="auto"/>
      </w:pPr>
      <w:r>
        <w:t>Regular, perhaps lifelong use of the services brings familiarity. This provides a sense of ritual</w:t>
      </w:r>
      <w:r w:rsidR="00C43E9D">
        <w:t xml:space="preserve"> and through that a sense of community</w:t>
      </w:r>
      <w:r>
        <w:t xml:space="preserve"> </w:t>
      </w:r>
      <w:sdt>
        <w:sdtPr>
          <w:id w:val="-1426338246"/>
          <w:citation/>
        </w:sdtPr>
        <w:sdtEndPr/>
        <w:sdtContent>
          <w:r>
            <w:fldChar w:fldCharType="begin"/>
          </w:r>
          <w:r>
            <w:instrText xml:space="preserve">CITATION white \p 19 \l 2057 </w:instrText>
          </w:r>
          <w:r>
            <w:fldChar w:fldCharType="separate"/>
          </w:r>
          <w:r w:rsidRPr="009F66A3">
            <w:rPr>
              <w:noProof/>
            </w:rPr>
            <w:t>(White, 2001, p. 19)</w:t>
          </w:r>
          <w:r>
            <w:fldChar w:fldCharType="end"/>
          </w:r>
        </w:sdtContent>
      </w:sdt>
      <w:r w:rsidR="00C43E9D">
        <w:t xml:space="preserve">. It can also represent security and lack of threat Christians suffering difficulties of faith. </w:t>
      </w:r>
    </w:p>
    <w:p w:rsidR="009F66A3" w:rsidRDefault="009F66A3" w:rsidP="004D0358">
      <w:pPr>
        <w:spacing w:after="0" w:line="240" w:lineRule="auto"/>
      </w:pPr>
    </w:p>
    <w:p w:rsidR="00CF1AD2" w:rsidRDefault="00CF1AD2" w:rsidP="004D0358">
      <w:pPr>
        <w:spacing w:after="0" w:line="240" w:lineRule="auto"/>
      </w:pPr>
      <w:r>
        <w:t>The services are accessibly to individuals at home, travelling or at work; to small groups at a place of worship or elsewhere</w:t>
      </w:r>
      <w:r w:rsidR="002D1860">
        <w:t>. N</w:t>
      </w:r>
      <w:r>
        <w:t xml:space="preserve">o special equipment, </w:t>
      </w:r>
      <w:r w:rsidRPr="00CF1AD2">
        <w:t>beyond books</w:t>
      </w:r>
      <w:r>
        <w:t>, or environment are req</w:t>
      </w:r>
      <w:r w:rsidR="002D1860">
        <w:t>uired,</w:t>
      </w:r>
      <w:r>
        <w:t xml:space="preserve"> an</w:t>
      </w:r>
      <w:r w:rsidR="00335166">
        <w:t xml:space="preserve">d no special people, priests or deacons, are required. Lone worship may reduce the sense of local church community but can provide </w:t>
      </w:r>
      <w:r w:rsidR="00785B2D">
        <w:t xml:space="preserve">more realisation of worship with “the company of heaven”. </w:t>
      </w:r>
    </w:p>
    <w:p w:rsidR="00680AE5" w:rsidRDefault="00680AE5" w:rsidP="004D0358">
      <w:pPr>
        <w:spacing w:after="0" w:line="240" w:lineRule="auto"/>
      </w:pPr>
    </w:p>
    <w:p w:rsidR="00995C77" w:rsidRDefault="00B54B4A" w:rsidP="00995C77">
      <w:pPr>
        <w:spacing w:after="0" w:line="240" w:lineRule="auto"/>
      </w:pPr>
      <w:r>
        <w:t xml:space="preserve">In addition to the </w:t>
      </w:r>
      <w:r w:rsidR="005B3567">
        <w:t xml:space="preserve">practical time considerations the services are designed to </w:t>
      </w:r>
      <w:r w:rsidR="00E01E05">
        <w:t>integrate</w:t>
      </w:r>
      <w:r w:rsidR="004D5E17">
        <w:t xml:space="preserve"> with </w:t>
      </w:r>
      <w:r w:rsidR="00E01E05">
        <w:t>life at the daily and annual levels. T</w:t>
      </w:r>
      <w:r w:rsidR="004D5E17">
        <w:t xml:space="preserve">he </w:t>
      </w:r>
      <w:r w:rsidR="00F24FF7">
        <w:t xml:space="preserve">different elements between MP and EP </w:t>
      </w:r>
      <w:r w:rsidR="00E01E05">
        <w:t>reflect the needs and circumstance</w:t>
      </w:r>
      <w:r w:rsidR="00C0601D">
        <w:t xml:space="preserve">s of those times </w:t>
      </w:r>
      <w:r w:rsidR="00E01E05">
        <w:t xml:space="preserve">as do elements of other services </w:t>
      </w:r>
      <w:r w:rsidR="00AC4012">
        <w:t>(</w:t>
      </w:r>
      <w:r w:rsidR="00E01E05">
        <w:t xml:space="preserve">Prayer </w:t>
      </w:r>
      <w:r w:rsidR="00AC4012">
        <w:t>During the D</w:t>
      </w:r>
      <w:r w:rsidR="00E01E05">
        <w:t xml:space="preserve">ay, </w:t>
      </w:r>
      <w:r w:rsidR="00AC4012">
        <w:t>Night Prayer) T</w:t>
      </w:r>
      <w:r w:rsidR="00F24FF7">
        <w:t xml:space="preserve">hrough the Appendix ii suggested texts </w:t>
      </w:r>
      <w:sdt>
        <w:sdtPr>
          <w:id w:val="-224524738"/>
          <w:citation/>
        </w:sdtPr>
        <w:sdtEndPr/>
        <w:sdtContent>
          <w:r w:rsidR="00F24FF7">
            <w:fldChar w:fldCharType="begin"/>
          </w:r>
          <w:r w:rsidR="00F24FF7">
            <w:instrText xml:space="preserve">CITATION BCP2009 \p 77 \l 2057 </w:instrText>
          </w:r>
          <w:r w:rsidR="00F24FF7">
            <w:fldChar w:fldCharType="separate"/>
          </w:r>
          <w:r w:rsidR="00F24FF7" w:rsidRPr="00F24FF7">
            <w:rPr>
              <w:noProof/>
            </w:rPr>
            <w:t>(BCP, 2009, p. 77)</w:t>
          </w:r>
          <w:r w:rsidR="00F24FF7">
            <w:fldChar w:fldCharType="end"/>
          </w:r>
        </w:sdtContent>
      </w:sdt>
      <w:r w:rsidR="00F24FF7">
        <w:t xml:space="preserve"> or chosen alternatives</w:t>
      </w:r>
      <w:r w:rsidR="00AC4012">
        <w:t xml:space="preserve"> prayer and praise is directed at the major festivals and elements of the church year. </w:t>
      </w:r>
    </w:p>
    <w:p w:rsidR="00995C77" w:rsidRDefault="00995C77" w:rsidP="00995C77">
      <w:pPr>
        <w:spacing w:after="0" w:line="240" w:lineRule="auto"/>
      </w:pPr>
    </w:p>
    <w:p w:rsidR="00995C77" w:rsidRDefault="00995C77" w:rsidP="004B415B">
      <w:r>
        <w:t xml:space="preserve">These resources therefore offer attractive and accessible material for support of major aspects of the life of the church.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92877239"/>
        <w:docPartObj>
          <w:docPartGallery w:val="Bibliographies"/>
          <w:docPartUnique/>
        </w:docPartObj>
      </w:sdtPr>
      <w:sdtEndPr/>
      <w:sdtContent>
        <w:p w:rsidR="00CB5297" w:rsidRDefault="00CB5297" w:rsidP="00CB5297">
          <w:pPr>
            <w:pStyle w:val="Heading1"/>
            <w:pBdr>
              <w:top w:val="single" w:sz="4" w:space="1" w:color="auto"/>
            </w:pBdr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CB5297" w:rsidRDefault="00CB5297" w:rsidP="00CB5297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BCP, 2009. </w:t>
              </w:r>
              <w:r>
                <w:rPr>
                  <w:i/>
                  <w:iCs/>
                  <w:noProof/>
                  <w:lang w:val="en-US"/>
                </w:rPr>
                <w:t xml:space="preserve">The Book of Common Prayer for use in the Church in Wales 2009: Daily Prayer. </w:t>
              </w:r>
              <w:r>
                <w:rPr>
                  <w:noProof/>
                  <w:lang w:val="en-US"/>
                </w:rPr>
                <w:t>Norwich: Canterbury.</w:t>
              </w:r>
            </w:p>
            <w:p w:rsidR="00CB5297" w:rsidRDefault="00CB5297" w:rsidP="00CB52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Myers, G., 2002. Beyond words. In: J. Fletcher &amp; G. Myers, eds. </w:t>
              </w:r>
              <w:r>
                <w:rPr>
                  <w:i/>
                  <w:iCs/>
                  <w:noProof/>
                  <w:lang w:val="en-US"/>
                </w:rPr>
                <w:t xml:space="preserve">Using Common Worship: Daily Prayer. </w:t>
              </w:r>
              <w:r>
                <w:rPr>
                  <w:noProof/>
                  <w:lang w:val="en-US"/>
                </w:rPr>
                <w:t>London: Church House Publishing.</w:t>
              </w:r>
            </w:p>
            <w:p w:rsidR="00CB5297" w:rsidRDefault="00CB5297" w:rsidP="00CB52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White, J. F., 2001. </w:t>
              </w:r>
              <w:r>
                <w:rPr>
                  <w:i/>
                  <w:iCs/>
                  <w:noProof/>
                  <w:lang w:val="en-US"/>
                </w:rPr>
                <w:t xml:space="preserve">Introduction to Christian Worship. </w:t>
              </w:r>
              <w:r>
                <w:rPr>
                  <w:noProof/>
                  <w:lang w:val="en-US"/>
                </w:rPr>
                <w:t>3rd ed. Nashville TN: Abingdon Press.</w:t>
              </w:r>
            </w:p>
            <w:p w:rsidR="00CB5297" w:rsidRDefault="00CB5297" w:rsidP="00CB52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95C77" w:rsidRPr="00BE0591" w:rsidRDefault="00995C77" w:rsidP="004B415B"/>
    <w:p w:rsidR="00EB675A" w:rsidRPr="00BE0591" w:rsidRDefault="00EB675A" w:rsidP="004D0358">
      <w:pPr>
        <w:spacing w:after="0" w:line="240" w:lineRule="auto"/>
      </w:pPr>
    </w:p>
    <w:sectPr w:rsidR="00EB675A" w:rsidRPr="00BE0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01"/>
    <w:rsid w:val="000363AF"/>
    <w:rsid w:val="00133005"/>
    <w:rsid w:val="0017475E"/>
    <w:rsid w:val="001A7419"/>
    <w:rsid w:val="00277D67"/>
    <w:rsid w:val="002855A7"/>
    <w:rsid w:val="00297C73"/>
    <w:rsid w:val="002D1860"/>
    <w:rsid w:val="00335166"/>
    <w:rsid w:val="003C2C54"/>
    <w:rsid w:val="003D2B0A"/>
    <w:rsid w:val="003F7703"/>
    <w:rsid w:val="00400FA3"/>
    <w:rsid w:val="00403A9D"/>
    <w:rsid w:val="00447FF0"/>
    <w:rsid w:val="00465D96"/>
    <w:rsid w:val="004B415B"/>
    <w:rsid w:val="004C73CB"/>
    <w:rsid w:val="004D0358"/>
    <w:rsid w:val="004D5E17"/>
    <w:rsid w:val="005222D2"/>
    <w:rsid w:val="00541F6D"/>
    <w:rsid w:val="005B3567"/>
    <w:rsid w:val="00604BC5"/>
    <w:rsid w:val="0063588F"/>
    <w:rsid w:val="00680AE5"/>
    <w:rsid w:val="00684264"/>
    <w:rsid w:val="006A63AD"/>
    <w:rsid w:val="00704DB9"/>
    <w:rsid w:val="00705392"/>
    <w:rsid w:val="00724D83"/>
    <w:rsid w:val="007427F2"/>
    <w:rsid w:val="007461A7"/>
    <w:rsid w:val="00763FAC"/>
    <w:rsid w:val="00774028"/>
    <w:rsid w:val="00785B2D"/>
    <w:rsid w:val="007A0D57"/>
    <w:rsid w:val="0084762C"/>
    <w:rsid w:val="008911E2"/>
    <w:rsid w:val="008B6D62"/>
    <w:rsid w:val="00967D07"/>
    <w:rsid w:val="00995C77"/>
    <w:rsid w:val="009F66A3"/>
    <w:rsid w:val="00A13052"/>
    <w:rsid w:val="00A74BDA"/>
    <w:rsid w:val="00AC4012"/>
    <w:rsid w:val="00AD05FE"/>
    <w:rsid w:val="00AD4F2B"/>
    <w:rsid w:val="00B12774"/>
    <w:rsid w:val="00B47FCA"/>
    <w:rsid w:val="00B54B4A"/>
    <w:rsid w:val="00B609E2"/>
    <w:rsid w:val="00B67F05"/>
    <w:rsid w:val="00B71201"/>
    <w:rsid w:val="00BE04FA"/>
    <w:rsid w:val="00BE0591"/>
    <w:rsid w:val="00BF00CD"/>
    <w:rsid w:val="00C0601D"/>
    <w:rsid w:val="00C17DC6"/>
    <w:rsid w:val="00C21E0D"/>
    <w:rsid w:val="00C41129"/>
    <w:rsid w:val="00C43E9D"/>
    <w:rsid w:val="00C47D79"/>
    <w:rsid w:val="00CB5297"/>
    <w:rsid w:val="00CE3596"/>
    <w:rsid w:val="00CE5ACD"/>
    <w:rsid w:val="00CF1AD2"/>
    <w:rsid w:val="00D045DE"/>
    <w:rsid w:val="00D30C98"/>
    <w:rsid w:val="00D315AC"/>
    <w:rsid w:val="00DB73B4"/>
    <w:rsid w:val="00DC2108"/>
    <w:rsid w:val="00DE5C72"/>
    <w:rsid w:val="00DE5E52"/>
    <w:rsid w:val="00DF5828"/>
    <w:rsid w:val="00E01E05"/>
    <w:rsid w:val="00E10903"/>
    <w:rsid w:val="00E3538F"/>
    <w:rsid w:val="00E37A79"/>
    <w:rsid w:val="00E55C02"/>
    <w:rsid w:val="00EB675A"/>
    <w:rsid w:val="00F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162AB-2FC7-4569-9A4E-DC78D7E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2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1201"/>
    <w:rPr>
      <w:rFonts w:eastAsiaTheme="minorEastAsia"/>
      <w:color w:val="5A5A5A" w:themeColor="text1" w:themeTint="A5"/>
      <w:spacing w:val="15"/>
    </w:rPr>
  </w:style>
  <w:style w:type="paragraph" w:styleId="Bibliography">
    <w:name w:val="Bibliography"/>
    <w:basedOn w:val="Normal"/>
    <w:next w:val="Normal"/>
    <w:uiPriority w:val="37"/>
    <w:unhideWhenUsed/>
    <w:rsid w:val="0017475E"/>
  </w:style>
  <w:style w:type="character" w:customStyle="1" w:styleId="Heading1Char">
    <w:name w:val="Heading 1 Char"/>
    <w:basedOn w:val="DefaultParagraphFont"/>
    <w:link w:val="Heading1"/>
    <w:uiPriority w:val="9"/>
    <w:rsid w:val="00174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white</b:Tag>
    <b:SourceType>Book</b:SourceType>
    <b:Guid>{F23D8543-1D3B-4D5A-A169-BC9C651D5D38}</b:Guid>
    <b:Author>
      <b:Author>
        <b:NameList>
          <b:Person>
            <b:Last>White</b:Last>
            <b:First>James</b:First>
            <b:Middle>F</b:Middle>
          </b:Person>
        </b:NameList>
      </b:Author>
    </b:Author>
    <b:Title>Introduction to Christian Worship</b:Title>
    <b:Year>2001</b:Year>
    <b:City>Nashville TN</b:City>
    <b:Publisher>Abingdon Press</b:Publisher>
    <b:Edition>3rd</b:Edition>
    <b:RefOrder>1</b:RefOrder>
  </b:Source>
  <b:Source>
    <b:Tag>BCP2009</b:Tag>
    <b:SourceType>Book</b:SourceType>
    <b:Guid>{5CB4C91A-9FF5-48DD-A9F2-24FAF201BB34}</b:Guid>
    <b:Author>
      <b:Author>
        <b:Corporate>BCP</b:Corporate>
      </b:Author>
    </b:Author>
    <b:Title>The Book of Common Prayer for use in the Church in Wales 2009: Daily Prayer</b:Title>
    <b:Year>2009</b:Year>
    <b:City>Norwich</b:City>
    <b:Publisher>Canterbury</b:Publisher>
    <b:RefOrder>3</b:RefOrder>
  </b:Source>
  <b:Source>
    <b:Tag>Mye02</b:Tag>
    <b:SourceType>BookSection</b:SourceType>
    <b:Guid>{C3DAE9D5-9430-4D1D-9C19-268BC3639048}</b:Guid>
    <b:Title>Beyond words</b:Title>
    <b:Year>2002</b:Year>
    <b:City>London</b:City>
    <b:Publisher>Church House Publishing</b:Publisher>
    <b:Author>
      <b:Author>
        <b:NameList>
          <b:Person>
            <b:Last>Myers</b:Last>
            <b:First>Gilly</b:First>
          </b:Person>
        </b:NameList>
      </b:Author>
      <b:Editor>
        <b:NameList>
          <b:Person>
            <b:Last>Fletcher</b:Last>
            <b:First>J</b:First>
          </b:Person>
          <b:Person>
            <b:Last>Myers</b:Last>
            <b:First>G</b:First>
          </b:Person>
        </b:NameList>
      </b:Editor>
    </b:Author>
    <b:BookTitle>Using Common Worship: Daily Prayer</b:BookTitle>
    <b:RefOrder>2</b:RefOrder>
  </b:Source>
</b:Sources>
</file>

<file path=customXml/itemProps1.xml><?xml version="1.0" encoding="utf-8"?>
<ds:datastoreItem xmlns:ds="http://schemas.openxmlformats.org/officeDocument/2006/customXml" ds:itemID="{DFCDEBC0-35BF-4CDF-BCB5-76C109DFE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919</Words>
  <Characters>4689</Characters>
  <Application>Microsoft Office Word</Application>
  <DocSecurity>0</DocSecurity>
  <Lines>71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54</cp:revision>
  <dcterms:created xsi:type="dcterms:W3CDTF">2015-12-17T16:25:00Z</dcterms:created>
  <dcterms:modified xsi:type="dcterms:W3CDTF">2016-01-05T20:25:00Z</dcterms:modified>
</cp:coreProperties>
</file>