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Default="00B71201" w:rsidP="00B71201">
      <w:pPr>
        <w:pStyle w:val="Title"/>
      </w:pPr>
      <w:r>
        <w:t>How might Morning and/or</w:t>
      </w:r>
      <w:r w:rsidR="00B12774">
        <w:t xml:space="preserve"> Evening P</w:t>
      </w:r>
      <w:r>
        <w:t>rayer be used as a resource to enable the life of the church</w:t>
      </w:r>
    </w:p>
    <w:p w:rsidR="00B71201" w:rsidRDefault="00B71201" w:rsidP="00B71201">
      <w:pPr>
        <w:pStyle w:val="Subtitle"/>
        <w:pBdr>
          <w:bottom w:val="single" w:sz="4" w:space="1" w:color="auto"/>
        </w:pBdr>
      </w:pPr>
      <w:r>
        <w:t>Nigel Hardy</w:t>
      </w:r>
    </w:p>
    <w:p w:rsidR="00B71201" w:rsidRPr="00C47D79" w:rsidRDefault="00B71201">
      <w:pPr>
        <w:rPr>
          <w:color w:val="FF0000"/>
        </w:rPr>
      </w:pPr>
      <w:r w:rsidRPr="00C47D79">
        <w:rPr>
          <w:color w:val="FF0000"/>
        </w:rPr>
        <w:fldChar w:fldCharType="begin"/>
      </w:r>
      <w:r w:rsidRPr="00C47D79">
        <w:rPr>
          <w:color w:val="FF0000"/>
        </w:rPr>
        <w:instrText xml:space="preserve"> NUMWORDS   \* MERGEFORMAT </w:instrText>
      </w:r>
      <w:r w:rsidRPr="00C47D79">
        <w:rPr>
          <w:color w:val="FF0000"/>
        </w:rPr>
        <w:fldChar w:fldCharType="separate"/>
      </w:r>
      <w:r w:rsidR="00967D07">
        <w:rPr>
          <w:noProof/>
          <w:color w:val="FF0000"/>
        </w:rPr>
        <w:t>217</w:t>
      </w:r>
      <w:r w:rsidRPr="00C47D79">
        <w:rPr>
          <w:color w:val="FF0000"/>
        </w:rPr>
        <w:fldChar w:fldCharType="end"/>
      </w:r>
    </w:p>
    <w:p w:rsidR="00C47D79" w:rsidRDefault="00B609E2">
      <w:r>
        <w:t>Morning</w:t>
      </w:r>
      <w:r w:rsidR="00684264">
        <w:t xml:space="preserve"> and evening prayer support </w:t>
      </w:r>
      <w:r w:rsidR="00C47D79">
        <w:t xml:space="preserve">five </w:t>
      </w:r>
      <w:r w:rsidR="00684264">
        <w:t xml:space="preserve">significant </w:t>
      </w:r>
      <w:r w:rsidR="00C47D79">
        <w:t xml:space="preserve">aspects </w:t>
      </w:r>
      <w:r>
        <w:t>of church life:</w:t>
      </w:r>
      <w:r w:rsidR="00C47D79">
        <w:t xml:space="preserve"> worship, prayer, community, learning for s</w:t>
      </w:r>
      <w:r>
        <w:t>piritual growth and evangelism; in ways can be integrated regularly and frequently into everyday life of the individual and the c</w:t>
      </w:r>
      <w:r w:rsidR="00DB73B4">
        <w:t>h</w:t>
      </w:r>
      <w:r>
        <w:t>urch.</w:t>
      </w:r>
    </w:p>
    <w:p w:rsidR="00C47D79" w:rsidRDefault="00C47D79"/>
    <w:p w:rsidR="00C47D79" w:rsidRDefault="0063588F">
      <w:pPr>
        <w:rPr>
          <w:lang w:val="cy-GB"/>
        </w:rPr>
      </w:pPr>
      <w:r>
        <w:rPr>
          <w:lang w:val="cy-GB"/>
        </w:rPr>
        <w:t>Morning and evening prayer “concentrate on prayer and praise” in the style of the ancient people’</w:t>
      </w:r>
      <w:r w:rsidR="00403A9D">
        <w:rPr>
          <w:lang w:val="cy-GB"/>
        </w:rPr>
        <w:t>s services</w:t>
      </w:r>
      <w:r>
        <w:rPr>
          <w:lang w:val="cy-GB"/>
        </w:rPr>
        <w:t xml:space="preserve"> </w:t>
      </w:r>
      <w:sdt>
        <w:sdtPr>
          <w:rPr>
            <w:lang w:val="cy-GB"/>
          </w:rPr>
          <w:id w:val="-697157059"/>
          <w:citation/>
        </w:sdtPr>
        <w:sdtContent>
          <w:r w:rsidR="00403A9D">
            <w:rPr>
              <w:lang w:val="cy-GB"/>
            </w:rPr>
            <w:fldChar w:fldCharType="begin"/>
          </w:r>
          <w:r w:rsidR="00403A9D">
            <w:rPr>
              <w:lang w:val="cy-GB"/>
            </w:rPr>
            <w:instrText xml:space="preserve">CITATION white \p 149 \l 1106 </w:instrText>
          </w:r>
          <w:r w:rsidR="00403A9D">
            <w:rPr>
              <w:lang w:val="cy-GB"/>
            </w:rPr>
            <w:fldChar w:fldCharType="separate"/>
          </w:r>
          <w:r w:rsidR="00967D07" w:rsidRPr="00967D07">
            <w:rPr>
              <w:noProof/>
              <w:lang w:val="cy-GB"/>
            </w:rPr>
            <w:t>(White, 2001, p. 149)</w:t>
          </w:r>
          <w:r w:rsidR="00403A9D">
            <w:rPr>
              <w:lang w:val="cy-GB"/>
            </w:rPr>
            <w:fldChar w:fldCharType="end"/>
          </w:r>
        </w:sdtContent>
      </w:sdt>
      <w:r w:rsidR="00403A9D">
        <w:rPr>
          <w:lang w:val="cy-GB"/>
        </w:rPr>
        <w:t>.</w:t>
      </w:r>
    </w:p>
    <w:p w:rsidR="00B609E2" w:rsidRDefault="00B609E2">
      <w:pPr>
        <w:rPr>
          <w:lang w:val="cy-GB"/>
        </w:rPr>
      </w:pPr>
    </w:p>
    <w:p w:rsidR="00B609E2" w:rsidRDefault="00705392" w:rsidP="00CE5ACD">
      <w:pPr>
        <w:rPr>
          <w:lang w:val="cy-GB"/>
        </w:rPr>
      </w:pPr>
      <w:r>
        <w:rPr>
          <w:lang w:val="cy-GB"/>
        </w:rPr>
        <w:t xml:space="preserve">White states that </w:t>
      </w:r>
      <w:r w:rsidR="00B67F05">
        <w:rPr>
          <w:lang w:val="cy-GB"/>
        </w:rPr>
        <w:t xml:space="preserve">the Reformers tended to make </w:t>
      </w:r>
      <w:r>
        <w:rPr>
          <w:lang w:val="cy-GB"/>
        </w:rPr>
        <w:t>“</w:t>
      </w:r>
      <w:r w:rsidRPr="00705392">
        <w:rPr>
          <w:lang w:val="cy-GB"/>
        </w:rPr>
        <w:t xml:space="preserve">edification </w:t>
      </w:r>
      <w:r w:rsidR="00B67F05">
        <w:rPr>
          <w:lang w:val="cy-GB"/>
        </w:rPr>
        <w:t xml:space="preserve">the </w:t>
      </w:r>
      <w:r w:rsidRPr="00705392">
        <w:rPr>
          <w:lang w:val="cy-GB"/>
        </w:rPr>
        <w:t>chief function of daily worship</w:t>
      </w:r>
      <w:r>
        <w:rPr>
          <w:lang w:val="cy-GB"/>
        </w:rPr>
        <w:t>”</w:t>
      </w:r>
      <w:sdt>
        <w:sdtPr>
          <w:rPr>
            <w:lang w:val="cy-GB"/>
          </w:rPr>
          <w:id w:val="1252772635"/>
          <w:citation/>
        </w:sdtPr>
        <w:sdtContent>
          <w:r w:rsidR="00B67F05">
            <w:rPr>
              <w:lang w:val="cy-GB"/>
            </w:rPr>
            <w:fldChar w:fldCharType="begin"/>
          </w:r>
          <w:r w:rsidR="00B67F05">
            <w:rPr>
              <w:lang w:val="cy-GB"/>
            </w:rPr>
            <w:instrText xml:space="preserve">CITATION white \p 148 \l 1106 </w:instrText>
          </w:r>
          <w:r w:rsidR="00B67F05">
            <w:rPr>
              <w:lang w:val="cy-GB"/>
            </w:rPr>
            <w:fldChar w:fldCharType="separate"/>
          </w:r>
          <w:r w:rsidR="00967D07">
            <w:rPr>
              <w:noProof/>
              <w:lang w:val="cy-GB"/>
            </w:rPr>
            <w:t xml:space="preserve"> </w:t>
          </w:r>
          <w:r w:rsidR="00967D07" w:rsidRPr="00967D07">
            <w:rPr>
              <w:noProof/>
              <w:lang w:val="cy-GB"/>
            </w:rPr>
            <w:t>(White, 2001, p. 148)</w:t>
          </w:r>
          <w:r w:rsidR="00B67F05">
            <w:rPr>
              <w:lang w:val="cy-GB"/>
            </w:rPr>
            <w:fldChar w:fldCharType="end"/>
          </w:r>
        </w:sdtContent>
      </w:sdt>
      <w:r>
        <w:rPr>
          <w:lang w:val="cy-GB"/>
        </w:rPr>
        <w:t>. Th</w:t>
      </w:r>
      <w:r w:rsidR="00CE5ACD">
        <w:rPr>
          <w:lang w:val="cy-GB"/>
        </w:rPr>
        <w:t>e</w:t>
      </w:r>
      <w:r w:rsidR="00B67F05">
        <w:rPr>
          <w:lang w:val="cy-GB"/>
        </w:rPr>
        <w:t xml:space="preserve"> </w:t>
      </w:r>
      <w:r w:rsidR="00CE5ACD">
        <w:rPr>
          <w:lang w:val="cy-GB"/>
        </w:rPr>
        <w:t>major variabl</w:t>
      </w:r>
      <w:r w:rsidR="00B67F05">
        <w:rPr>
          <w:lang w:val="cy-GB"/>
        </w:rPr>
        <w:t>e part</w:t>
      </w:r>
      <w:r w:rsidR="00CE5ACD">
        <w:rPr>
          <w:lang w:val="cy-GB"/>
        </w:rPr>
        <w:t xml:space="preserve"> of the service (propers) - the Ministry of the word -</w:t>
      </w:r>
      <w:r w:rsidR="00DE5C72">
        <w:rPr>
          <w:lang w:val="cy-GB"/>
        </w:rPr>
        <w:t xml:space="preserve"> provides for one or two readings. If a lectionary is followed, broad coverage of the scriptures will be achieved over time and </w:t>
      </w:r>
      <w:r w:rsidR="00CE5ACD">
        <w:rPr>
          <w:lang w:val="cy-GB"/>
        </w:rPr>
        <w:t>a note instructs “</w:t>
      </w:r>
      <w:r w:rsidR="00CE5ACD" w:rsidRPr="00CE5ACD">
        <w:rPr>
          <w:lang w:val="cy-GB"/>
        </w:rPr>
        <w:t>care should be</w:t>
      </w:r>
      <w:r w:rsidR="00CE5ACD">
        <w:rPr>
          <w:lang w:val="cy-GB"/>
        </w:rPr>
        <w:t xml:space="preserve"> </w:t>
      </w:r>
      <w:r w:rsidR="00CE5ACD" w:rsidRPr="00CE5ACD">
        <w:rPr>
          <w:lang w:val="cy-GB"/>
        </w:rPr>
        <w:t>taken to observe, as far as possible, the principle of reading</w:t>
      </w:r>
      <w:r w:rsidR="00CE5ACD">
        <w:rPr>
          <w:lang w:val="cy-GB"/>
        </w:rPr>
        <w:t xml:space="preserve"> </w:t>
      </w:r>
      <w:r w:rsidR="00CE5ACD" w:rsidRPr="00CE5ACD">
        <w:rPr>
          <w:lang w:val="cy-GB"/>
        </w:rPr>
        <w:t>Holy Scripture in course.</w:t>
      </w:r>
      <w:r w:rsidR="00CE5ACD">
        <w:rPr>
          <w:lang w:val="cy-GB"/>
        </w:rPr>
        <w:t xml:space="preserve">” </w:t>
      </w:r>
      <w:r w:rsidR="00CE5ACD" w:rsidRPr="00CE5ACD">
        <w:rPr>
          <w:lang w:val="cy-GB"/>
        </w:rPr>
        <w:t>(BCP, 2009, p. 17)</w:t>
      </w:r>
      <w:r w:rsidR="00CE5ACD">
        <w:rPr>
          <w:lang w:val="cy-GB"/>
        </w:rPr>
        <w:t xml:space="preserve"> to ensure continuity. </w:t>
      </w:r>
      <w:r w:rsidR="00B67F05">
        <w:rPr>
          <w:lang w:val="cy-GB"/>
        </w:rPr>
        <w:t xml:space="preserve">While </w:t>
      </w:r>
      <w:r w:rsidR="00297C73">
        <w:rPr>
          <w:lang w:val="cy-GB"/>
        </w:rPr>
        <w:t>the comprehensive coverage</w:t>
      </w:r>
      <w:r w:rsidR="002855A7">
        <w:rPr>
          <w:lang w:val="cy-GB"/>
        </w:rPr>
        <w:t xml:space="preserve"> specified in earlier </w:t>
      </w:r>
      <w:r w:rsidR="00A13052">
        <w:rPr>
          <w:lang w:val="cy-GB"/>
        </w:rPr>
        <w:t>forms has been lost, and</w:t>
      </w:r>
      <w:r w:rsidR="00297C73">
        <w:rPr>
          <w:lang w:val="cy-GB"/>
        </w:rPr>
        <w:t xml:space="preserve"> </w:t>
      </w:r>
      <w:r w:rsidR="00B12774">
        <w:rPr>
          <w:lang w:val="cy-GB"/>
        </w:rPr>
        <w:t xml:space="preserve">White </w:t>
      </w:r>
      <w:bookmarkStart w:id="0" w:name="_GoBack"/>
      <w:bookmarkEnd w:id="0"/>
      <w:r w:rsidR="00B12774">
        <w:rPr>
          <w:lang w:val="cy-GB"/>
        </w:rPr>
        <w:t xml:space="preserve">suggests that the chief concern should be with prayer and praise, some disciplined reading of the scripture is encouraged. </w:t>
      </w:r>
    </w:p>
    <w:p w:rsidR="004D0358" w:rsidRPr="0063588F" w:rsidRDefault="003F7703" w:rsidP="004D0358">
      <w:pPr>
        <w:spacing w:after="0" w:line="240" w:lineRule="auto"/>
        <w:rPr>
          <w:lang w:val="cy-GB"/>
        </w:rPr>
      </w:pPr>
      <w:r>
        <w:rPr>
          <w:lang w:val="cy-GB"/>
        </w:rPr>
        <w:t xml:space="preserve">Evangelism is served by the </w:t>
      </w:r>
      <w:r w:rsidR="0084762C">
        <w:rPr>
          <w:lang w:val="cy-GB"/>
        </w:rPr>
        <w:t xml:space="preserve">regular witness. </w:t>
      </w:r>
      <w:r w:rsidR="004D0358">
        <w:rPr>
          <w:lang w:val="cy-GB"/>
        </w:rPr>
        <w:t>“</w:t>
      </w:r>
      <w:r w:rsidR="004D0358" w:rsidRPr="004D0358">
        <w:rPr>
          <w:lang w:val="cy-GB"/>
        </w:rPr>
        <w:t>it is the duty of the clergy to say these two offices</w:t>
      </w:r>
      <w:r w:rsidR="004D0358">
        <w:rPr>
          <w:lang w:val="cy-GB"/>
        </w:rPr>
        <w:t xml:space="preserve"> </w:t>
      </w:r>
      <w:r w:rsidR="004D0358" w:rsidRPr="004D0358">
        <w:rPr>
          <w:lang w:val="cy-GB"/>
        </w:rPr>
        <w:t>each day, preferably in church after tolling the bell.</w:t>
      </w:r>
      <w:r>
        <w:rPr>
          <w:lang w:val="cy-GB"/>
        </w:rPr>
        <w:t>”</w:t>
      </w:r>
      <w:sdt>
        <w:sdtPr>
          <w:rPr>
            <w:lang w:val="cy-GB"/>
          </w:rPr>
          <w:id w:val="189419951"/>
          <w:citation/>
        </w:sdtPr>
        <w:sdtContent>
          <w:r>
            <w:rPr>
              <w:lang w:val="cy-GB"/>
            </w:rPr>
            <w:fldChar w:fldCharType="begin"/>
          </w:r>
          <w:r>
            <w:rPr>
              <w:lang w:val="cy-GB"/>
            </w:rPr>
            <w:instrText xml:space="preserve">CITATION BCP2009 \p 15 \l 1106 </w:instrText>
          </w:r>
          <w:r>
            <w:rPr>
              <w:lang w:val="cy-GB"/>
            </w:rPr>
            <w:fldChar w:fldCharType="separate"/>
          </w:r>
          <w:r w:rsidR="00967D07">
            <w:rPr>
              <w:noProof/>
              <w:lang w:val="cy-GB"/>
            </w:rPr>
            <w:t xml:space="preserve"> </w:t>
          </w:r>
          <w:r w:rsidR="00967D07" w:rsidRPr="00967D07">
            <w:rPr>
              <w:noProof/>
              <w:lang w:val="cy-GB"/>
            </w:rPr>
            <w:t>(BCP, 2009, p. 15)</w:t>
          </w:r>
          <w:r>
            <w:rPr>
              <w:lang w:val="cy-GB"/>
            </w:rPr>
            <w:fldChar w:fldCharType="end"/>
          </w:r>
        </w:sdtContent>
      </w:sdt>
      <w:r w:rsidR="0084762C">
        <w:rPr>
          <w:lang w:val="cy-GB"/>
        </w:rPr>
        <w:t>.</w:t>
      </w:r>
    </w:p>
    <w:sectPr w:rsidR="004D0358" w:rsidRPr="0063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01"/>
    <w:rsid w:val="002855A7"/>
    <w:rsid w:val="00297C73"/>
    <w:rsid w:val="003F7703"/>
    <w:rsid w:val="00403A9D"/>
    <w:rsid w:val="004D0358"/>
    <w:rsid w:val="0063588F"/>
    <w:rsid w:val="00684264"/>
    <w:rsid w:val="00705392"/>
    <w:rsid w:val="00724D83"/>
    <w:rsid w:val="007A0D57"/>
    <w:rsid w:val="0084762C"/>
    <w:rsid w:val="00967D07"/>
    <w:rsid w:val="00A13052"/>
    <w:rsid w:val="00AD05FE"/>
    <w:rsid w:val="00B12774"/>
    <w:rsid w:val="00B609E2"/>
    <w:rsid w:val="00B67F05"/>
    <w:rsid w:val="00B71201"/>
    <w:rsid w:val="00C47D79"/>
    <w:rsid w:val="00CE5ACD"/>
    <w:rsid w:val="00D30C98"/>
    <w:rsid w:val="00DB73B4"/>
    <w:rsid w:val="00D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62AB-2FC7-4569-9A4E-DC78D7E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2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2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white</b:Tag>
    <b:SourceType>Book</b:SourceType>
    <b:Guid>{F23D8543-1D3B-4D5A-A169-BC9C651D5D38}</b:Guid>
    <b:Author>
      <b:Author>
        <b:NameList>
          <b:Person>
            <b:Last>White</b:Last>
            <b:First>James</b:First>
            <b:Middle>F</b:Middle>
          </b:Person>
        </b:NameList>
      </b:Author>
    </b:Author>
    <b:Title>Introduction to Christian Worship</b:Title>
    <b:Year>2001</b:Year>
    <b:City>Nashville TN</b:City>
    <b:Publisher>Abingdon Press</b:Publisher>
    <b:Edition>3rd</b:Edition>
    <b:RefOrder>1</b:RefOrder>
  </b:Source>
  <b:Source>
    <b:Tag>BCP2009</b:Tag>
    <b:SourceType>Book</b:SourceType>
    <b:Guid>{5CB4C91A-9FF5-48DD-A9F2-24FAF201BB34}</b:Guid>
    <b:Author>
      <b:Author>
        <b:Corporate>BCP</b:Corporate>
      </b:Author>
    </b:Author>
    <b:Title>The Book of Common Prayer for use in the Church in Wales 2009: Daily Prayer</b:Title>
    <b:Year>2009</b:Year>
    <b:City>Norwich</b:City>
    <b:Publisher>Canterbury</b:Publisher>
    <b:RefOrder>2</b:RefOrder>
  </b:Source>
</b:Sources>
</file>

<file path=customXml/itemProps1.xml><?xml version="1.0" encoding="utf-8"?>
<ds:datastoreItem xmlns:ds="http://schemas.openxmlformats.org/officeDocument/2006/customXml" ds:itemID="{350F4697-426C-4AA4-B598-F7F8B61F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251</Words>
  <Characters>1257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12</cp:revision>
  <dcterms:created xsi:type="dcterms:W3CDTF">2015-12-17T16:25:00Z</dcterms:created>
  <dcterms:modified xsi:type="dcterms:W3CDTF">2015-12-17T20:16:00Z</dcterms:modified>
</cp:coreProperties>
</file>