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>
          <w:rFonts w:ascii="Linux Libertine T;serif" w:hAnsi="Linux Libertine T;serif"/>
        </w:rPr>
        <w:t>1</w:t>
      </w:r>
      <w:r>
        <w:rPr/>
        <w:t xml:space="preserve">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Biolinum T;serif" w:hAnsi="Linux Biolinum T;serif"/>
          <w:b/>
        </w:rPr>
        <w:t>Impact of AMC-Oriented CW Adversarial Attacks on CRC</w:t>
      </w:r>
      <w:r>
        <w:rPr/>
        <w:t xml:space="preserve"> </w:t>
      </w:r>
      <w:r>
        <w:rPr>
          <w:rFonts w:ascii="Linux Biolinum T;serif" w:hAnsi="Linux Biolinum T;serif"/>
          <w:b/>
        </w:rPr>
        <w:t>Integrity</w:t>
      </w:r>
      <w:r>
        <w:rPr/>
        <w:t xml:space="preserve">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</w:rPr>
        <w:t>Anonymous Author</w:t>
      </w:r>
      <w:r>
        <w:rPr/>
        <w:t xml:space="preserve">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</w:rPr>
        <w:t>Affiliation Withheld for Review</w:t>
      </w:r>
      <w:r>
        <w:rPr/>
        <w:t xml:space="preserve">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</w:rPr>
        <w:t>N/A</w:t>
      </w:r>
      <w:r>
        <w:rPr/>
        <w:t xml:space="preserve"> </w:t>
      </w:r>
      <w:r>
        <w:rPr>
          <w:rFonts w:ascii="Linux Libertine T;serif" w:hAnsi="Linux Libertine T;serif"/>
        </w:rPr>
        <w:t>anonymous@anonymous.org</w:t>
      </w:r>
      <w:r>
        <w:rPr/>
        <w:t xml:space="preserve">   </w:t>
      </w:r>
      <w:bookmarkStart w:id="0" w:name="likesection.1"/>
      <w:bookmarkStart w:id="1" w:name="x1-2x1"/>
      <w:bookmarkStart w:id="2" w:name="Q1-1-0"/>
      <w:bookmarkEnd w:id="0"/>
      <w:bookmarkEnd w:id="1"/>
      <w:bookmarkEnd w:id="2"/>
    </w:p>
    <w:p>
      <w:pPr>
        <w:pStyle w:val="TextBodyindent"/>
        <w:bidi w:val="0"/>
        <w:jc w:val="left"/>
        <w:rPr/>
      </w:pPr>
      <w:r>
        <w:rPr/>
        <w:t xml:space="preserve">AbstractThis paper studies a practical two-stage receiver pipeline in which automatic modulation classification (AMC) controls downstream demodulation and CRC verification. Using the existing crc_experiment.py implementation, we run a two-track evaluation: Track A uses real RML2016.10a IQ data to measure AWN behavior under clean and Carlini-Wagner (CW) attack conditions; Track B uses synthetic bursts with known payload bits to measure CRC pass rates. Perturbations are generated on Track A and transferred to Track B. Across digital modulations, average AMC accuracy drops from 97.19% to 4.65% under CW. However, CRC under oracle demodulation changes only from 63.62% to 59.59%. CRC collapse appears when demodulation is driven by attacked AMC output: Adv+AMC CRC falls to 4.12%. At 18 dB, the gap is stronger: 93.25% (Adv+Oracle) vs. 7.81% (Adv+AMC). The results indicate that the dominant failure path is AMC misclassification leading to wrong demodulator selection, not only direct waveform destruction. </w:t>
      </w:r>
    </w:p>
    <w:p>
      <w:pPr>
        <w:pStyle w:val="TextBodyindent"/>
        <w:bidi w:val="0"/>
        <w:jc w:val="left"/>
        <w:rPr/>
      </w:pPr>
      <w:r>
        <w:rPr/>
        <w:t xml:space="preserve">Keywordsadversarial machine learning, modulation classification, RF security, CRC, CW attack </w:t>
      </w:r>
    </w:p>
    <w:p>
      <w:pPr>
        <w:pStyle w:val="Heading3sectionHead"/>
        <w:bidi w:val="0"/>
        <w:jc w:val="center"/>
        <w:rPr/>
      </w:pPr>
      <w:r>
        <w:rPr/>
        <w:t xml:space="preserve">1 </w:t>
      </w:r>
      <w:bookmarkStart w:id="3" w:name="x1-10001"/>
      <w:bookmarkEnd w:id="3"/>
      <w:r>
        <w:rPr/>
        <w:t>Introduction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Practical receivers often use a two-stage pipeline: automatic modulation classification (AMC) followed by modulation-specific demodulation and CRC checking. This architecture is effective under noise, but it introduces a strong dependency: if AMC is manipulated, the receiver may select the wrong demodulator, and CRC can fail even when the waveform is still demodulatable under the correct modulation assumption. </w:t>
      </w:r>
    </w:p>
    <w:p>
      <w:pPr>
        <w:pStyle w:val="TextBodyindent"/>
        <w:bidi w:val="0"/>
        <w:jc w:val="left"/>
        <w:rPr/>
      </w:pPr>
      <w:r>
        <w:rPr/>
        <w:t xml:space="preserve">This paper analyzes that failure path using the implementation in crc_experiment.py from the current codebase. We focus on three questions: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4" w:name="x1-1002x1"/>
      <w:bookmarkEnd w:id="4"/>
      <w:r>
        <w:rPr/>
        <w:t xml:space="preserve">Does CW mainly break AMC, waveform demodulability, or both?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5" w:name="x1-1004x2"/>
      <w:bookmarkEnd w:id="5"/>
      <w:r>
        <w:rPr/>
        <w:t xml:space="preserve">How large is the gap between oracle demodulation and AMC-driven demodulation under attack?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6" w:name="x1-1006x3"/>
      <w:bookmarkEnd w:id="6"/>
      <w:r>
        <w:rPr/>
        <w:t>Are the conclusions stable across low and high SNR regimes (0 and 18 dB)?</w:t>
      </w:r>
    </w:p>
    <w:p>
      <w:pPr>
        <w:pStyle w:val="Heading3sectionHead"/>
        <w:bidi w:val="0"/>
        <w:rPr/>
      </w:pPr>
      <w:r>
        <w:rPr/>
        <w:t xml:space="preserve">2 </w:t>
      </w:r>
      <w:bookmarkStart w:id="7" w:name="x1-20002"/>
      <w:bookmarkEnd w:id="7"/>
      <w:r>
        <w:rPr/>
        <w:t>Method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  <w:b/>
        </w:rPr>
        <w:t xml:space="preserve">2.1 </w:t>
      </w:r>
      <w:bookmarkStart w:id="8" w:name="x1-30002.1"/>
      <w:bookmarkEnd w:id="8"/>
      <w:r>
        <w:rPr>
          <w:rFonts w:ascii="Linux Libertine T;serif" w:hAnsi="Linux Libertine T;serif"/>
          <w:b/>
        </w:rPr>
        <w:t>Two-Track Design.</w:t>
      </w:r>
      <w:r>
        <w:rPr/>
        <w:t xml:space="preserve"> The experiment uses a two-track setup.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9" w:name="x1-3002x1"/>
      <w:bookmarkEnd w:id="9"/>
      <w:r>
        <w:rPr>
          <w:rFonts w:ascii="Linux Libertine T;serif" w:hAnsi="Linux Libertine T;serif"/>
          <w:b/>
        </w:rPr>
        <w:t xml:space="preserve">Track A (AMC): </w:t>
      </w:r>
      <w:r>
        <w:rPr/>
        <w:t xml:space="preserve">real RML2016.10a IQ samples are classified by AWN on clean and CW-attacked inputs to obtain AMC accuracy and perturbations.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10" w:name="x1-3004x2"/>
      <w:bookmarkEnd w:id="10"/>
      <w:r>
        <w:rPr>
          <w:rFonts w:ascii="Linux Libertine T;serif" w:hAnsi="Linux Libertine T;serif"/>
          <w:b/>
        </w:rPr>
        <w:t xml:space="preserve">Track B (CRC): </w:t>
      </w:r>
      <w:r>
        <w:rPr/>
        <w:t>synthetic bursts with known payload bits are generated, demodulated, and validated with CRC pass/fail outcomes.</w:t>
      </w:r>
    </w:p>
    <w:p>
      <w:pPr>
        <w:pStyle w:val="TextBodyindent"/>
        <w:bidi w:val="0"/>
        <w:jc w:val="left"/>
        <w:rPr/>
      </w:pPr>
      <w:r>
        <w:rPr/>
        <w:t xml:space="preserve">Code references: crc_experiment.py:73, crc_experiment.py:175, crc_experiment.py:222.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  <w:b/>
        </w:rPr>
        <w:t xml:space="preserve">2.2 </w:t>
      </w:r>
      <w:bookmarkStart w:id="11" w:name="x1-40002.2"/>
      <w:bookmarkEnd w:id="11"/>
      <w:r>
        <w:rPr>
          <w:rFonts w:ascii="Linux Libertine T;serif" w:hAnsi="Linux Libertine T;serif"/>
          <w:b/>
        </w:rPr>
        <w:t>Transfer Perturbation.</w:t>
      </w:r>
      <w:r>
        <w:rPr/>
        <w:t xml:space="preserve"> CW perturbations are generated on Track A and then transferred to Track B: </w:t>
      </w:r>
    </w:p>
    <w:tbl>
      <w:tblPr>
        <w:tblW w:w="33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21"/>
        <w:gridCol w:w="421"/>
      </w:tblGrid>
      <w:tr>
        <w:trPr/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left"/>
              <w:rPr/>
            </w:pPr>
            <w:r>
              <w:rPr/>
              <w:drawing>
                <wp:inline distT="0" distB="0" distL="0" distR="0">
                  <wp:extent cx="1752600" cy="20002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2" w:name="x1-4001r1"/>
            <w:bookmarkEnd w:id="12"/>
            <w:r>
              <w:rPr/>
              <w:t xml:space="preserve"> </w:t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(1)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where 𝛿</w:t>
      </w:r>
      <w:r>
        <w:rPr>
          <w:position w:val="-2"/>
          <w:sz w:val="19"/>
        </w:rPr>
        <w:t>real</w:t>
      </w:r>
      <w:r>
        <w:rPr/>
        <w:t xml:space="preserve"> </w:t>
      </w:r>
      <w:r>
        <w:rPr>
          <w:rFonts w:ascii="LibertineMath;serif" w:hAnsi="LibertineMath;serif"/>
        </w:rPr>
        <w:t xml:space="preserve">= </w:t>
      </w:r>
      <w:r>
        <w:rPr/>
        <w:t>𝑥</w:t>
      </w:r>
      <w:r>
        <w:rPr>
          <w:position w:val="-2"/>
          <w:sz w:val="19"/>
        </w:rPr>
        <w:t>adv,real</w:t>
      </w:r>
      <w:r>
        <w:rPr/>
        <w:t xml:space="preserve"> − 𝑥</w:t>
      </w:r>
      <w:r>
        <w:rPr>
          <w:position w:val="-2"/>
          <w:sz w:val="19"/>
        </w:rPr>
        <w:t>real</w:t>
      </w:r>
      <w:r>
        <w:rPr/>
        <w:t xml:space="preserve">. Code references: crc_experiment.py:212, crc_experiment.py:238.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  <w:b/>
        </w:rPr>
        <w:t xml:space="preserve">2.3 </w:t>
      </w:r>
      <w:bookmarkStart w:id="13" w:name="x1-50002.3"/>
      <w:bookmarkEnd w:id="13"/>
      <w:r>
        <w:rPr>
          <w:rFonts w:ascii="Linux Libertine T;serif" w:hAnsi="Linux Libertine T;serif"/>
          <w:b/>
        </w:rPr>
        <w:t>Evaluation Scenarios.</w:t>
      </w:r>
      <w:r>
        <w:rPr/>
        <w:t xml:space="preserve"> For each modulation-SNR cell, four scenarios are evaluated: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14" w:name="x1-5002x1"/>
      <w:bookmarkEnd w:id="14"/>
      <w:r>
        <w:rPr>
          <w:rFonts w:ascii="Linux Libertine T;serif" w:hAnsi="Linux Libertine T;serif"/>
          <w:b/>
        </w:rPr>
        <w:t xml:space="preserve">Clean+Oracle: </w:t>
      </w:r>
      <w:r>
        <w:rPr/>
        <w:t xml:space="preserve">clean IQ, true modulation used for demodulation.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15" w:name="x1-5004x2"/>
      <w:bookmarkEnd w:id="15"/>
      <w:r>
        <w:rPr>
          <w:rFonts w:ascii="Linux Libertine T;serif" w:hAnsi="Linux Libertine T;serif"/>
          <w:b/>
        </w:rPr>
        <w:t xml:space="preserve">Clean+AMC: </w:t>
      </w:r>
      <w:r>
        <w:rPr/>
        <w:t xml:space="preserve">clean IQ, demodulation chosen from AMC behavior.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16" w:name="x1-5006x3"/>
      <w:bookmarkEnd w:id="16"/>
      <w:r>
        <w:rPr>
          <w:rFonts w:ascii="Linux Libertine T;serif" w:hAnsi="Linux Libertine T;serif"/>
          <w:b/>
        </w:rPr>
        <w:t xml:space="preserve">Adv+Oracle: </w:t>
      </w:r>
      <w:r>
        <w:rPr/>
        <w:t xml:space="preserve">adversarial IQ, true modulation used for demodulation.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17" w:name="x1-5008x4"/>
      <w:bookmarkEnd w:id="17"/>
      <w:r>
        <w:rPr>
          <w:rFonts w:ascii="Linux Libertine T;serif" w:hAnsi="Linux Libertine T;serif"/>
          <w:b/>
        </w:rPr>
        <w:t xml:space="preserve">Adv+AMC: </w:t>
      </w:r>
      <w:r>
        <w:rPr/>
        <w:t>adversarial IQ, demodulation chosen from attacked AMC output.</w:t>
      </w:r>
    </w:p>
    <w:p>
      <w:pPr>
        <w:pStyle w:val="TextBodyindent"/>
        <w:bidi w:val="0"/>
        <w:jc w:val="left"/>
        <w:rPr/>
      </w:pPr>
      <w:r>
        <w:rPr/>
        <w:t xml:space="preserve">The adversarial window is spliced back into full burst context before demodulation to preserve guard-related filtering behavior (crc_experiment.py:93124). </w:t>
      </w:r>
    </w:p>
    <w:p>
      <w:pPr>
        <w:pStyle w:val="Heading3sectionHead"/>
        <w:bidi w:val="0"/>
        <w:jc w:val="center"/>
        <w:rPr/>
      </w:pPr>
      <w:r>
        <w:rPr/>
        <w:t xml:space="preserve">3 </w:t>
      </w:r>
      <w:bookmarkStart w:id="18" w:name="x1-60003"/>
      <w:bookmarkEnd w:id="18"/>
      <w:r>
        <w:rPr/>
        <w:t>Experimental Setup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  <w:b/>
        </w:rPr>
        <w:t xml:space="preserve">3.1 </w:t>
      </w:r>
      <w:bookmarkStart w:id="19" w:name="x1-70003.1"/>
      <w:bookmarkEnd w:id="19"/>
      <w:r>
        <w:rPr>
          <w:rFonts w:ascii="Linux Libertine T;serif" w:hAnsi="Linux Libertine T;serif"/>
          <w:b/>
        </w:rPr>
        <w:t>Model and Data.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0" w:name="x1-7002x1"/>
      <w:bookmarkEnd w:id="20"/>
      <w:r>
        <w:rPr/>
        <w:t xml:space="preserve">AMC model: AWN loaded from 2016.10a_AWN.pkl.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1" w:name="x1-7004x2"/>
      <w:bookmarkEnd w:id="21"/>
      <w:r>
        <w:rPr/>
        <w:t xml:space="preserve">Real data (Track A): ./data/RML2016.10a_dict.pkl.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2" w:name="x1-7006x3"/>
      <w:bookmarkEnd w:id="22"/>
      <w:r>
        <w:rPr/>
        <w:t xml:space="preserve">Synthetic data (Track B): generated by util.synth_txrx.generate_burst.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3" w:name="x1-7008x4"/>
      <w:bookmarkEnd w:id="23"/>
      <w:r>
        <w:rPr/>
        <w:t>CRC-capable digital modulations: BPSK, QPSK, 8PSK, QAM16, QAM64, PAM4, CPFSK, GFSK.</w:t>
      </w:r>
    </w:p>
    <w:p>
      <w:pPr>
        <w:pStyle w:val="TextBody"/>
        <w:bidi w:val="0"/>
        <w:jc w:val="left"/>
        <w:rPr/>
      </w:pPr>
      <w:r>
        <w:rPr>
          <w:rFonts w:ascii="Linux Libertine T;serif" w:hAnsi="Linux Libertine T;serif"/>
          <w:b/>
        </w:rPr>
        <w:t xml:space="preserve">3.2 </w:t>
      </w:r>
      <w:bookmarkStart w:id="24" w:name="x1-80003.2"/>
      <w:bookmarkEnd w:id="24"/>
      <w:r>
        <w:rPr>
          <w:rFonts w:ascii="Linux Libertine T;serif" w:hAnsi="Linux Libertine T;serif"/>
          <w:b/>
        </w:rPr>
        <w:t>Attack and Output Scope.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5" w:name="x1-8002x1"/>
      <w:bookmarkEnd w:id="25"/>
      <w:r>
        <w:rPr/>
        <w:t xml:space="preserve">Attack: CW via create_attack('cw', ...).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6" w:name="x1-8004x2"/>
      <w:bookmarkEnd w:id="26"/>
      <w:r>
        <w:rPr/>
        <w:t xml:space="preserve">Track A uses 500 real samples per modulation-SNR cell.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7" w:name="x1-8006x3"/>
      <w:bookmarkEnd w:id="27"/>
      <w:r>
        <w:rPr/>
        <w:t xml:space="preserve">Result file for this paper: crc_experiment_results/crc_vs_amc.csv.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8" w:name="x1-8008x4"/>
      <w:bookmarkEnd w:id="28"/>
      <w:r>
        <w:rPr/>
        <w:t>Track B count in this result: 𝑛</w:t>
      </w:r>
      <w:r>
        <w:rPr>
          <w:rFonts w:ascii="LibertineMath;serif" w:hAnsi="LibertineMath;serif"/>
        </w:rPr>
        <w:t xml:space="preserve">= </w:t>
      </w:r>
      <w:r>
        <w:rPr>
          <w:rFonts w:ascii="Linux Libertine T;serif" w:hAnsi="Linux Libertine T;serif"/>
        </w:rPr>
        <w:t xml:space="preserve">200 </w:t>
      </w:r>
      <w:r>
        <w:rPr/>
        <w:t xml:space="preserve">synthetic bursts per digital cell.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9" w:name="x1-8010x5"/>
      <w:bookmarkEnd w:id="29"/>
      <w:r>
        <w:rPr/>
        <w:t>SNR settings in the result file: 0 and 18 dB.</w:t>
      </w:r>
    </w:p>
    <w:p>
      <w:pPr>
        <w:pStyle w:val="Heading3sectionHead"/>
        <w:bidi w:val="0"/>
        <w:rPr/>
      </w:pPr>
      <w:r>
        <w:rPr/>
        <w:t xml:space="preserve">4 </w:t>
      </w:r>
      <w:bookmarkStart w:id="30" w:name="x1-90004"/>
      <w:bookmarkEnd w:id="30"/>
      <w:r>
        <w:rPr/>
        <w:t>Results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  <w:b/>
        </w:rPr>
        <w:t xml:space="preserve">4.1 </w:t>
      </w:r>
      <w:bookmarkStart w:id="31" w:name="x1-100004.1"/>
      <w:bookmarkEnd w:id="31"/>
      <w:r>
        <w:rPr>
          <w:rFonts w:ascii="Linux Libertine T;serif" w:hAnsi="Linux Libertine T;serif"/>
          <w:b/>
        </w:rPr>
        <w:t>Overall Means on Digital Modulations.</w:t>
      </w:r>
      <w:r>
        <w:rPr/>
        <w:t xml:space="preserve"> Table </w:t>
      </w:r>
      <w:hyperlink w:anchor="x1-10001r1">
        <w:r>
          <w:rPr>
            <w:rStyle w:val="InternetLink"/>
          </w:rPr>
          <w:t>1</w:t>
        </w:r>
      </w:hyperlink>
      <w:r>
        <w:rPr/>
        <w:t xml:space="preserve"> reports means over all digital cells (8 modulations </w:t>
      </w:r>
      <w:r>
        <w:rPr>
          <w:rFonts w:ascii="txsys;serif" w:hAnsi="txsys;serif"/>
        </w:rPr>
        <w:t xml:space="preserve">× </w:t>
      </w:r>
      <w:r>
        <w:rPr/>
        <w:t xml:space="preserve">2 SNR levels </w:t>
      </w:r>
      <w:r>
        <w:rPr>
          <w:rFonts w:ascii="txsys;serif" w:hAnsi="txsys;serif"/>
        </w:rPr>
        <w:t xml:space="preserve">× </w:t>
      </w:r>
      <w:r>
        <w:rPr/>
        <w:t xml:space="preserve">4 scenarios). </w:t>
      </w:r>
    </w:p>
    <w:p>
      <w:pPr>
        <w:pStyle w:val="TextBody"/>
        <w:bidi w:val="0"/>
        <w:spacing w:before="0" w:after="0"/>
        <w:jc w:val="left"/>
        <w:rPr/>
      </w:pPr>
      <w:bookmarkStart w:id="32" w:name="x1-10001r1"/>
      <w:bookmarkStart w:id="33" w:name="x1-10002"/>
      <w:bookmarkEnd w:id="32"/>
      <w:bookmarkEnd w:id="33"/>
      <w:r>
        <w:rPr>
          <w:rFonts w:ascii="Linux Libertine T;serif" w:hAnsi="Linux Libertine T;serif"/>
          <w:b/>
        </w:rPr>
        <w:t>Table</w:t>
      </w:r>
      <w:r>
        <w:rPr/>
        <w:t> </w:t>
      </w:r>
      <w:r>
        <w:rPr>
          <w:rFonts w:ascii="Linux Libertine T;serif" w:hAnsi="Linux Libertine T;serif"/>
          <w:b/>
        </w:rPr>
        <w:t>1: Overall Means on Digital Modulations</w:t>
      </w:r>
      <w:r>
        <w:rPr/>
        <w:t xml:space="preserve"> </w:t>
      </w:r>
    </w:p>
    <w:p>
      <w:pPr>
        <w:pStyle w:val="Normal"/>
        <w:bidi w:val="0"/>
        <w:spacing w:before="0" w:after="0"/>
        <w:jc w:val="left"/>
        <w:rPr>
          <w:sz w:val="4"/>
          <w:szCs w:val="4"/>
        </w:rPr>
      </w:pPr>
      <w:r>
        <w:rPr>
          <w:sz w:val="4"/>
          <w:szCs w:val="4"/>
        </w:rPr>
      </w:r>
      <w:bookmarkStart w:id="34" w:name="TBL-1"/>
      <w:bookmarkStart w:id="35" w:name="TBL-1-1g"/>
      <w:bookmarkStart w:id="36" w:name="TBL-1-1"/>
      <w:bookmarkStart w:id="37" w:name="TBL-1-2"/>
      <w:bookmarkStart w:id="38" w:name="TBL-1-3"/>
      <w:bookmarkStart w:id="39" w:name="TBL-1-1-"/>
      <w:bookmarkStart w:id="40" w:name="TBL-1"/>
      <w:bookmarkStart w:id="41" w:name="TBL-1-1g"/>
      <w:bookmarkStart w:id="42" w:name="TBL-1-1"/>
      <w:bookmarkStart w:id="43" w:name="TBL-1-2"/>
      <w:bookmarkStart w:id="44" w:name="TBL-1-3"/>
      <w:bookmarkStart w:id="45" w:name="TBL-1-1-"/>
      <w:bookmarkEnd w:id="40"/>
      <w:bookmarkEnd w:id="41"/>
      <w:bookmarkEnd w:id="42"/>
      <w:bookmarkEnd w:id="43"/>
      <w:bookmarkEnd w:id="44"/>
      <w:bookmarkEnd w:id="45"/>
    </w:p>
    <w:tbl>
      <w:tblPr>
        <w:tblW w:w="44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1"/>
        <w:gridCol w:w="1516"/>
        <w:gridCol w:w="1531"/>
      </w:tblGrid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bookmarkStart w:id="46" w:name="TBL-1-1-1"/>
            <w:bookmarkEnd w:id="46"/>
            <w:r>
              <w:rPr/>
              <w:t xml:space="preserve">Scenario </w:t>
            </w:r>
            <w:bookmarkStart w:id="47" w:name="TBL-1-1-2"/>
            <w:bookmarkEnd w:id="47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AMC Acc (%)</w:t>
            </w:r>
            <w:bookmarkStart w:id="48" w:name="TBL-1-1-3"/>
            <w:bookmarkEnd w:id="48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CRC Pass (%)</w:t>
            </w:r>
            <w:bookmarkStart w:id="49" w:name="TBL-1-2-"/>
            <w:bookmarkStart w:id="50" w:name="TBL-1-2-1"/>
            <w:bookmarkEnd w:id="49"/>
            <w:bookmarkEnd w:id="50"/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Clean+Oracle</w:t>
            </w:r>
            <w:bookmarkStart w:id="51" w:name="TBL-1-2-2"/>
            <w:bookmarkEnd w:id="51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97.19 </w:t>
            </w:r>
            <w:bookmarkStart w:id="52" w:name="TBL-1-2-3"/>
            <w:bookmarkEnd w:id="52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63.62 </w:t>
            </w:r>
            <w:bookmarkStart w:id="53" w:name="TBL-1-3-"/>
            <w:bookmarkStart w:id="54" w:name="TBL-1-3-1"/>
            <w:bookmarkEnd w:id="53"/>
            <w:bookmarkEnd w:id="54"/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Clean+AMC </w:t>
            </w:r>
            <w:bookmarkStart w:id="55" w:name="TBL-1-3-2"/>
            <w:bookmarkEnd w:id="55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97.19 </w:t>
            </w:r>
            <w:bookmarkStart w:id="56" w:name="TBL-1-3-3"/>
            <w:bookmarkEnd w:id="56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62.12 </w:t>
            </w:r>
            <w:bookmarkStart w:id="57" w:name="TBL-1-4-"/>
            <w:bookmarkStart w:id="58" w:name="TBL-1-4-1"/>
            <w:bookmarkEnd w:id="57"/>
            <w:bookmarkEnd w:id="58"/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Adv+Oracle </w:t>
            </w:r>
            <w:bookmarkStart w:id="59" w:name="TBL-1-4-2"/>
            <w:bookmarkEnd w:id="59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4.65 </w:t>
            </w:r>
            <w:bookmarkStart w:id="60" w:name="TBL-1-4-3"/>
            <w:bookmarkEnd w:id="60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59.59 </w:t>
            </w:r>
            <w:bookmarkStart w:id="61" w:name="TBL-1-5-"/>
            <w:bookmarkStart w:id="62" w:name="TBL-1-5-1"/>
            <w:bookmarkEnd w:id="61"/>
            <w:bookmarkEnd w:id="62"/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Adv+AMC </w:t>
            </w:r>
            <w:bookmarkStart w:id="63" w:name="TBL-1-5-2"/>
            <w:bookmarkEnd w:id="63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4.65 </w:t>
            </w:r>
            <w:bookmarkStart w:id="64" w:name="TBL-1-5-3"/>
            <w:bookmarkEnd w:id="64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4.12 </w:t>
            </w:r>
            <w:bookmarkStart w:id="65" w:name="TBL-1-6-"/>
            <w:bookmarkStart w:id="66" w:name="TBL-1-6-1"/>
            <w:bookmarkEnd w:id="65"/>
            <w:bookmarkEnd w:id="66"/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47" w:type="dxa"/>
            <w:gridSpan w:val="2"/>
            <w:tcBorders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CW collapses AMC (97.19% → 4.65%). However, with oracle demodulation, CRC drops only moderately (63.62% → 59.59%). CRC collapse occurs primarily in Adv+AMC.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  <w:b/>
        </w:rPr>
        <w:t xml:space="preserve">4.2 </w:t>
      </w:r>
      <w:bookmarkStart w:id="67" w:name="x1-110004.2"/>
      <w:bookmarkEnd w:id="67"/>
      <w:r>
        <w:rPr>
          <w:rFonts w:ascii="Linux Libertine T;serif" w:hAnsi="Linux Libertine T;serif"/>
          <w:b/>
        </w:rPr>
        <w:t>SNR-Stratified Means.</w:t>
      </w:r>
      <w:r>
        <w:rPr/>
        <w:t xml:space="preserve"> </w:t>
      </w:r>
    </w:p>
    <w:p>
      <w:pPr>
        <w:pStyle w:val="TextBody"/>
        <w:bidi w:val="0"/>
        <w:spacing w:before="0" w:after="0"/>
        <w:jc w:val="left"/>
        <w:rPr/>
      </w:pPr>
      <w:bookmarkStart w:id="68" w:name="x1-11001r2"/>
      <w:bookmarkStart w:id="69" w:name="x1-11002"/>
      <w:bookmarkEnd w:id="68"/>
      <w:bookmarkEnd w:id="69"/>
      <w:r>
        <w:rPr>
          <w:rFonts w:ascii="Linux Libertine T;serif" w:hAnsi="Linux Libertine T;serif"/>
          <w:b/>
        </w:rPr>
        <w:t>Table</w:t>
      </w:r>
      <w:r>
        <w:rPr/>
        <w:t> </w:t>
      </w:r>
      <w:r>
        <w:rPr>
          <w:rFonts w:ascii="Linux Libertine T;serif" w:hAnsi="Linux Libertine T;serif"/>
          <w:b/>
        </w:rPr>
        <w:t>2: SNR-Stratified Means on Digital Modulations</w:t>
      </w:r>
      <w:r>
        <w:rPr/>
        <w:t xml:space="preserve"> </w:t>
      </w:r>
    </w:p>
    <w:p>
      <w:pPr>
        <w:pStyle w:val="Normal"/>
        <w:bidi w:val="0"/>
        <w:spacing w:before="0" w:after="0"/>
        <w:jc w:val="left"/>
        <w:rPr>
          <w:sz w:val="4"/>
          <w:szCs w:val="4"/>
        </w:rPr>
      </w:pPr>
      <w:r>
        <w:rPr>
          <w:sz w:val="4"/>
          <w:szCs w:val="4"/>
        </w:rPr>
      </w:r>
      <w:bookmarkStart w:id="70" w:name="TBL-2"/>
      <w:bookmarkStart w:id="71" w:name="TBL-2-1g"/>
      <w:bookmarkStart w:id="72" w:name="TBL-2-1"/>
      <w:bookmarkStart w:id="73" w:name="TBL-2-2"/>
      <w:bookmarkStart w:id="74" w:name="TBL-2-3"/>
      <w:bookmarkStart w:id="75" w:name="TBL-2-1-"/>
      <w:bookmarkStart w:id="76" w:name="TBL-2"/>
      <w:bookmarkStart w:id="77" w:name="TBL-2-1g"/>
      <w:bookmarkStart w:id="78" w:name="TBL-2-1"/>
      <w:bookmarkStart w:id="79" w:name="TBL-2-2"/>
      <w:bookmarkStart w:id="80" w:name="TBL-2-3"/>
      <w:bookmarkStart w:id="81" w:name="TBL-2-1-"/>
      <w:bookmarkEnd w:id="76"/>
      <w:bookmarkEnd w:id="77"/>
      <w:bookmarkEnd w:id="78"/>
      <w:bookmarkEnd w:id="79"/>
      <w:bookmarkEnd w:id="80"/>
      <w:bookmarkEnd w:id="81"/>
    </w:p>
    <w:tbl>
      <w:tblPr>
        <w:tblW w:w="52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36"/>
        <w:gridCol w:w="1516"/>
        <w:gridCol w:w="1531"/>
      </w:tblGrid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bookmarkStart w:id="82" w:name="TBL-2-1-1"/>
            <w:bookmarkEnd w:id="82"/>
            <w:r>
              <w:rPr/>
              <w:t xml:space="preserve">Scenario (SNR) </w:t>
            </w:r>
            <w:bookmarkStart w:id="83" w:name="TBL-2-1-2"/>
            <w:bookmarkEnd w:id="83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AMC Acc (%)</w:t>
            </w:r>
            <w:bookmarkStart w:id="84" w:name="TBL-2-1-3"/>
            <w:bookmarkEnd w:id="84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CRC Pass (%)</w:t>
            </w:r>
            <w:bookmarkStart w:id="85" w:name="TBL-2-2-"/>
            <w:bookmarkStart w:id="86" w:name="TBL-2-2-1"/>
            <w:bookmarkEnd w:id="85"/>
            <w:bookmarkEnd w:id="86"/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Clean+Oracle (0 dB) </w:t>
            </w:r>
            <w:bookmarkStart w:id="87" w:name="TBL-2-2-2"/>
            <w:bookmarkEnd w:id="87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96.28 </w:t>
            </w:r>
            <w:bookmarkStart w:id="88" w:name="TBL-2-2-3"/>
            <w:bookmarkEnd w:id="88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27.81 </w:t>
            </w:r>
            <w:bookmarkStart w:id="89" w:name="TBL-2-3-"/>
            <w:bookmarkStart w:id="90" w:name="TBL-2-3-1"/>
            <w:bookmarkEnd w:id="89"/>
            <w:bookmarkEnd w:id="90"/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Clean+AMC (0 dB) </w:t>
            </w:r>
            <w:bookmarkStart w:id="91" w:name="TBL-2-3-2"/>
            <w:bookmarkEnd w:id="91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96.28 </w:t>
            </w:r>
            <w:bookmarkStart w:id="92" w:name="TBL-2-3-3"/>
            <w:bookmarkEnd w:id="92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26.94 </w:t>
            </w:r>
            <w:bookmarkStart w:id="93" w:name="TBL-2-4-"/>
            <w:bookmarkStart w:id="94" w:name="TBL-2-4-1"/>
            <w:bookmarkEnd w:id="93"/>
            <w:bookmarkEnd w:id="94"/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Adv+Oracle (0 dB) </w:t>
            </w:r>
            <w:bookmarkStart w:id="95" w:name="TBL-2-4-2"/>
            <w:bookmarkEnd w:id="95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2.30 </w:t>
            </w:r>
            <w:bookmarkStart w:id="96" w:name="TBL-2-4-3"/>
            <w:bookmarkEnd w:id="96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25.94 </w:t>
            </w:r>
            <w:bookmarkStart w:id="97" w:name="TBL-2-5-"/>
            <w:bookmarkStart w:id="98" w:name="TBL-2-5-1"/>
            <w:bookmarkEnd w:id="97"/>
            <w:bookmarkEnd w:id="98"/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Adv+AMC (0 dB) </w:t>
            </w:r>
            <w:bookmarkStart w:id="99" w:name="TBL-2-5-2"/>
            <w:bookmarkEnd w:id="99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2.30 </w:t>
            </w:r>
            <w:bookmarkStart w:id="100" w:name="TBL-2-5-3"/>
            <w:bookmarkEnd w:id="100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0.44 </w:t>
            </w:r>
            <w:bookmarkStart w:id="101" w:name="TBL-2-6-"/>
            <w:bookmarkStart w:id="102" w:name="TBL-2-6-1"/>
            <w:bookmarkEnd w:id="101"/>
            <w:bookmarkEnd w:id="102"/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Clean+Oracle (18 dB)</w:t>
            </w:r>
            <w:bookmarkStart w:id="103" w:name="TBL-2-6-2"/>
            <w:bookmarkEnd w:id="103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98.10 </w:t>
            </w:r>
            <w:bookmarkStart w:id="104" w:name="TBL-2-6-3"/>
            <w:bookmarkEnd w:id="104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99.44 </w:t>
            </w:r>
            <w:bookmarkStart w:id="105" w:name="TBL-2-7-"/>
            <w:bookmarkStart w:id="106" w:name="TBL-2-7-1"/>
            <w:bookmarkEnd w:id="105"/>
            <w:bookmarkEnd w:id="106"/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Clean+AMC (18 dB) </w:t>
            </w:r>
            <w:bookmarkStart w:id="107" w:name="TBL-2-7-2"/>
            <w:bookmarkEnd w:id="107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98.10 </w:t>
            </w:r>
            <w:bookmarkStart w:id="108" w:name="TBL-2-7-3"/>
            <w:bookmarkEnd w:id="108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97.31 </w:t>
            </w:r>
            <w:bookmarkStart w:id="109" w:name="TBL-2-8-"/>
            <w:bookmarkStart w:id="110" w:name="TBL-2-8-1"/>
            <w:bookmarkEnd w:id="109"/>
            <w:bookmarkEnd w:id="110"/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Adv+Oracle (18 dB) </w:t>
            </w:r>
            <w:bookmarkStart w:id="111" w:name="TBL-2-8-2"/>
            <w:bookmarkEnd w:id="111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7.00 </w:t>
            </w:r>
            <w:bookmarkStart w:id="112" w:name="TBL-2-8-3"/>
            <w:bookmarkEnd w:id="112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93.25 </w:t>
            </w:r>
            <w:bookmarkStart w:id="113" w:name="TBL-2-9-"/>
            <w:bookmarkStart w:id="114" w:name="TBL-2-9-1"/>
            <w:bookmarkEnd w:id="113"/>
            <w:bookmarkEnd w:id="114"/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Adv+AMC (18 dB) </w:t>
            </w:r>
            <w:bookmarkStart w:id="115" w:name="TBL-2-9-2"/>
            <w:bookmarkEnd w:id="115"/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7.00 </w:t>
            </w:r>
            <w:bookmarkStart w:id="116" w:name="TBL-2-9-3"/>
            <w:bookmarkEnd w:id="116"/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7.81 </w:t>
            </w:r>
            <w:bookmarkStart w:id="117" w:name="TBL-2-10-"/>
            <w:bookmarkStart w:id="118" w:name="TBL-2-10-1"/>
            <w:bookmarkEnd w:id="117"/>
            <w:bookmarkEnd w:id="118"/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47" w:type="dxa"/>
            <w:gridSpan w:val="2"/>
            <w:tcBorders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At 18 dB, the gap between Adv+Oracle and Adv+AMC CRC is 85.44 points (93.25% vs. 7.81%), highlighting the AMC-induced error path.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  <w:b/>
        </w:rPr>
        <w:t xml:space="preserve">4.3 </w:t>
      </w:r>
      <w:bookmarkStart w:id="119" w:name="x1-120004.3"/>
      <w:bookmarkEnd w:id="119"/>
      <w:r>
        <w:rPr>
          <w:rFonts w:ascii="Linux Libertine T;serif" w:hAnsi="Linux Libertine T;serif"/>
          <w:b/>
        </w:rPr>
        <w:t>Per-Modulation CRC at 18 dB.</w:t>
      </w:r>
      <w:r>
        <w:rPr/>
        <w:t xml:space="preserve"> </w:t>
      </w:r>
    </w:p>
    <w:p>
      <w:pPr>
        <w:pStyle w:val="TextBody"/>
        <w:bidi w:val="0"/>
        <w:spacing w:before="0" w:after="0"/>
        <w:jc w:val="left"/>
        <w:rPr/>
      </w:pPr>
      <w:bookmarkStart w:id="120" w:name="x1-12001r3"/>
      <w:bookmarkStart w:id="121" w:name="x1-12002"/>
      <w:bookmarkEnd w:id="120"/>
      <w:bookmarkEnd w:id="121"/>
      <w:r>
        <w:rPr>
          <w:rFonts w:ascii="Linux Libertine T;serif" w:hAnsi="Linux Libertine T;serif"/>
          <w:b/>
        </w:rPr>
        <w:t>Table</w:t>
      </w:r>
      <w:r>
        <w:rPr/>
        <w:t> </w:t>
      </w:r>
      <w:r>
        <w:rPr>
          <w:rFonts w:ascii="Linux Libertine T;serif" w:hAnsi="Linux Libertine T;serif"/>
          <w:b/>
        </w:rPr>
        <w:t>3: CRC Pass Rate at 18 dB by Modulation</w:t>
      </w:r>
      <w:r>
        <w:rPr/>
        <w:t xml:space="preserve"> </w:t>
      </w:r>
    </w:p>
    <w:p>
      <w:pPr>
        <w:pStyle w:val="Normal"/>
        <w:bidi w:val="0"/>
        <w:spacing w:before="0" w:after="0"/>
        <w:jc w:val="left"/>
        <w:rPr>
          <w:sz w:val="4"/>
          <w:szCs w:val="4"/>
        </w:rPr>
      </w:pPr>
      <w:r>
        <w:rPr>
          <w:sz w:val="4"/>
          <w:szCs w:val="4"/>
        </w:rPr>
      </w:r>
      <w:bookmarkStart w:id="122" w:name="TBL-3"/>
      <w:bookmarkStart w:id="123" w:name="TBL-3-1g"/>
      <w:bookmarkStart w:id="124" w:name="TBL-3-1"/>
      <w:bookmarkStart w:id="125" w:name="TBL-3-2"/>
      <w:bookmarkStart w:id="126" w:name="TBL-3-3"/>
      <w:bookmarkStart w:id="127" w:name="TBL-3-4"/>
      <w:bookmarkStart w:id="128" w:name="TBL-3-1-"/>
      <w:bookmarkStart w:id="129" w:name="TBL-3"/>
      <w:bookmarkStart w:id="130" w:name="TBL-3-1g"/>
      <w:bookmarkStart w:id="131" w:name="TBL-3-1"/>
      <w:bookmarkStart w:id="132" w:name="TBL-3-2"/>
      <w:bookmarkStart w:id="133" w:name="TBL-3-3"/>
      <w:bookmarkStart w:id="134" w:name="TBL-3-4"/>
      <w:bookmarkStart w:id="135" w:name="TBL-3-1-"/>
      <w:bookmarkEnd w:id="129"/>
      <w:bookmarkEnd w:id="130"/>
      <w:bookmarkEnd w:id="131"/>
      <w:bookmarkEnd w:id="132"/>
      <w:bookmarkEnd w:id="133"/>
      <w:bookmarkEnd w:id="134"/>
      <w:bookmarkEnd w:id="135"/>
    </w:p>
    <w:tbl>
      <w:tblPr>
        <w:tblW w:w="519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6"/>
        <w:gridCol w:w="1426"/>
        <w:gridCol w:w="1291"/>
        <w:gridCol w:w="1261"/>
      </w:tblGrid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bookmarkStart w:id="136" w:name="TBL-3-1-1"/>
            <w:bookmarkEnd w:id="136"/>
            <w:r>
              <w:rPr/>
              <w:t>Modulation</w:t>
            </w:r>
            <w:bookmarkStart w:id="137" w:name="TBL-3-1-2"/>
            <w:bookmarkEnd w:id="137"/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Clean+Oracle</w:t>
            </w:r>
            <w:bookmarkStart w:id="138" w:name="TBL-3-1-3"/>
            <w:bookmarkEnd w:id="138"/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Adv+Oracle</w:t>
            </w:r>
            <w:bookmarkStart w:id="139" w:name="TBL-3-1-4"/>
            <w:bookmarkEnd w:id="139"/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Adv+AMC</w:t>
            </w:r>
            <w:bookmarkStart w:id="140" w:name="TBL-3-2-"/>
            <w:bookmarkStart w:id="141" w:name="TBL-3-2-1"/>
            <w:bookmarkEnd w:id="140"/>
            <w:bookmarkEnd w:id="141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BPSK </w:t>
            </w:r>
            <w:bookmarkStart w:id="142" w:name="TBL-3-2-2"/>
            <w:bookmarkEnd w:id="142"/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43" w:name="TBL-3-2-3"/>
            <w:bookmarkEnd w:id="143"/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44" w:name="TBL-3-2-4"/>
            <w:bookmarkEnd w:id="144"/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39.0 </w:t>
            </w:r>
            <w:bookmarkStart w:id="145" w:name="TBL-3-3-"/>
            <w:bookmarkStart w:id="146" w:name="TBL-3-3-1"/>
            <w:bookmarkEnd w:id="145"/>
            <w:bookmarkEnd w:id="146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QPSK </w:t>
            </w:r>
            <w:bookmarkStart w:id="147" w:name="TBL-3-3-2"/>
            <w:bookmarkEnd w:id="147"/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48" w:name="TBL-3-3-3"/>
            <w:bookmarkEnd w:id="148"/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49" w:name="TBL-3-3-4"/>
            <w:bookmarkEnd w:id="149"/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1.5</w:t>
            </w:r>
            <w:bookmarkStart w:id="150" w:name="TBL-3-4-"/>
            <w:bookmarkStart w:id="151" w:name="TBL-3-4-1"/>
            <w:bookmarkEnd w:id="150"/>
            <w:bookmarkEnd w:id="151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8PSK </w:t>
            </w:r>
            <w:bookmarkStart w:id="152" w:name="TBL-3-4-2"/>
            <w:bookmarkEnd w:id="152"/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53" w:name="TBL-3-4-3"/>
            <w:bookmarkEnd w:id="153"/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54" w:name="TBL-3-4-4"/>
            <w:bookmarkEnd w:id="154"/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0.5 </w:t>
            </w:r>
            <w:bookmarkStart w:id="155" w:name="TBL-3-5-"/>
            <w:bookmarkStart w:id="156" w:name="TBL-3-5-1"/>
            <w:bookmarkEnd w:id="155"/>
            <w:bookmarkEnd w:id="156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QAM16 </w:t>
            </w:r>
            <w:bookmarkStart w:id="157" w:name="TBL-3-5-2"/>
            <w:bookmarkEnd w:id="157"/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58" w:name="TBL-3-5-3"/>
            <w:bookmarkEnd w:id="158"/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99.5 </w:t>
            </w:r>
            <w:bookmarkStart w:id="159" w:name="TBL-3-5-4"/>
            <w:bookmarkEnd w:id="159"/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0.5</w:t>
            </w:r>
            <w:bookmarkStart w:id="160" w:name="TBL-3-6-"/>
            <w:bookmarkStart w:id="161" w:name="TBL-3-6-1"/>
            <w:bookmarkEnd w:id="160"/>
            <w:bookmarkEnd w:id="161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QAM64 </w:t>
            </w:r>
            <w:bookmarkStart w:id="162" w:name="TBL-3-6-2"/>
            <w:bookmarkEnd w:id="162"/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96.0 </w:t>
            </w:r>
            <w:bookmarkStart w:id="163" w:name="TBL-3-6-3"/>
            <w:bookmarkEnd w:id="163"/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76.0 </w:t>
            </w:r>
            <w:bookmarkStart w:id="164" w:name="TBL-3-6-4"/>
            <w:bookmarkEnd w:id="164"/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0.5 </w:t>
            </w:r>
            <w:bookmarkStart w:id="165" w:name="TBL-3-7-"/>
            <w:bookmarkStart w:id="166" w:name="TBL-3-7-1"/>
            <w:bookmarkEnd w:id="165"/>
            <w:bookmarkEnd w:id="166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PAM4 </w:t>
            </w:r>
            <w:bookmarkStart w:id="167" w:name="TBL-3-7-2"/>
            <w:bookmarkEnd w:id="167"/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68" w:name="TBL-3-7-3"/>
            <w:bookmarkEnd w:id="168"/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71.0 </w:t>
            </w:r>
            <w:bookmarkStart w:id="169" w:name="TBL-3-7-4"/>
            <w:bookmarkEnd w:id="169"/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2.0 </w:t>
            </w:r>
            <w:bookmarkStart w:id="170" w:name="TBL-3-8-"/>
            <w:bookmarkStart w:id="171" w:name="TBL-3-8-1"/>
            <w:bookmarkEnd w:id="170"/>
            <w:bookmarkEnd w:id="171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CPFSK </w:t>
            </w:r>
            <w:bookmarkStart w:id="172" w:name="TBL-3-8-2"/>
            <w:bookmarkEnd w:id="172"/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73" w:name="TBL-3-8-3"/>
            <w:bookmarkEnd w:id="173"/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74" w:name="TBL-3-8-4"/>
            <w:bookmarkEnd w:id="174"/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18.5 </w:t>
            </w:r>
            <w:bookmarkStart w:id="175" w:name="TBL-3-9-"/>
            <w:bookmarkStart w:id="176" w:name="TBL-3-9-1"/>
            <w:bookmarkEnd w:id="175"/>
            <w:bookmarkEnd w:id="176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GFSK </w:t>
            </w:r>
            <w:bookmarkStart w:id="177" w:name="TBL-3-9-2"/>
            <w:bookmarkEnd w:id="177"/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99.5 </w:t>
            </w:r>
            <w:bookmarkStart w:id="178" w:name="TBL-3-9-3"/>
            <w:bookmarkEnd w:id="178"/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99.5 </w:t>
            </w:r>
            <w:bookmarkStart w:id="179" w:name="TBL-3-9-4"/>
            <w:bookmarkEnd w:id="179"/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0.0 </w:t>
            </w:r>
            <w:bookmarkStart w:id="180" w:name="TBL-3-10-"/>
            <w:bookmarkStart w:id="181" w:name="TBL-3-10-1"/>
            <w:bookmarkEnd w:id="180"/>
            <w:bookmarkEnd w:id="181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978" w:type="dxa"/>
            <w:gridSpan w:val="3"/>
            <w:tcBorders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In 13 out of 16 digital cells, the Clean+Oracle and Adv+Oracle CRC difference is within 2 percentage points. In contrast, 14 out of 16 cells have Adv+AMC CRC at or below 5%. </w:t>
      </w:r>
    </w:p>
    <w:p>
      <w:pPr>
        <w:pStyle w:val="Heading3sectionHead"/>
        <w:bidi w:val="0"/>
        <w:jc w:val="center"/>
        <w:rPr/>
      </w:pPr>
      <w:r>
        <w:rPr/>
        <w:t xml:space="preserve">5 </w:t>
      </w:r>
      <w:bookmarkStart w:id="182" w:name="x1-130005"/>
      <w:bookmarkEnd w:id="182"/>
      <w:r>
        <w:rPr/>
        <w:t>Discussion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  <w:b/>
        </w:rPr>
        <w:t xml:space="preserve">5.1 </w:t>
      </w:r>
      <w:bookmarkStart w:id="183" w:name="x1-140005.1"/>
      <w:bookmarkEnd w:id="183"/>
      <w:r>
        <w:rPr>
          <w:rFonts w:ascii="Linux Libertine T;serif" w:hAnsi="Linux Libertine T;serif"/>
          <w:b/>
        </w:rPr>
        <w:t>Primary Failure Mechanism.</w:t>
      </w:r>
      <w:r>
        <w:rPr/>
        <w:t xml:space="preserve"> The dominant path is not always direct waveform destruction. Instead, the main mechanism is: CW causes AMC misclassification, then the receiver selects the wrong demodulator, leading to CRC failure.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  <w:b/>
        </w:rPr>
        <w:t xml:space="preserve">5.2 </w:t>
      </w:r>
      <w:bookmarkStart w:id="184" w:name="x1-150005.2"/>
      <w:bookmarkEnd w:id="184"/>
      <w:r>
        <w:rPr>
          <w:rFonts w:ascii="Linux Libertine T;serif" w:hAnsi="Linux Libertine T;serif"/>
          <w:b/>
        </w:rPr>
        <w:t>Why 18 dB Is More Diagnostic.</w:t>
      </w:r>
      <w:r>
        <w:rPr/>
        <w:t xml:space="preserve"> At 0 dB, several modulations already have low clean CRC baselines, which mixes channel-limited errors with attack-induced errors. At 18 dB, clean baselines are near saturation, so attack effects are easier to isolate.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Linux Libertine T;serif" w:hAnsi="Linux Libertine T;serif"/>
          <w:b/>
        </w:rPr>
        <w:t xml:space="preserve">5.3 </w:t>
      </w:r>
      <w:bookmarkStart w:id="185" w:name="x1-160005.3"/>
      <w:bookmarkEnd w:id="185"/>
      <w:r>
        <w:rPr>
          <w:rFonts w:ascii="Linux Libertine T;serif" w:hAnsi="Linux Libertine T;serif"/>
          <w:b/>
        </w:rPr>
        <w:t>Modulation-Specific Sensitivity.</w:t>
      </w:r>
      <w:r>
        <w:rPr/>
        <w:t xml:space="preserve"> QAM64 and PAM4 show notable Adv+Oracle drops (96.0% to 76.0%, and 100.0% to 71.0%, respectively), suggesting direct sensitivity beyond classification errors. </w:t>
      </w:r>
    </w:p>
    <w:p>
      <w:pPr>
        <w:pStyle w:val="Heading3sectionHead"/>
        <w:bidi w:val="0"/>
        <w:jc w:val="center"/>
        <w:rPr/>
      </w:pPr>
      <w:r>
        <w:rPr/>
        <w:t xml:space="preserve">6 </w:t>
      </w:r>
      <w:bookmarkStart w:id="186" w:name="x1-170006"/>
      <w:bookmarkEnd w:id="186"/>
      <w:r>
        <w:rPr/>
        <w:t>Threats to Validity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187" w:name="x1-17002x1"/>
      <w:bookmarkEnd w:id="187"/>
      <w:r>
        <w:rPr/>
        <w:t xml:space="preserve">The study is transfer-based: perturbations are generated on Track A real data and applied to Track B synthetic bursts. Conclusions are about transferability, not full real link attacks.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188" w:name="x1-17004x2"/>
      <w:bookmarkEnd w:id="188"/>
      <w:r>
        <w:rPr/>
        <w:t xml:space="preserve">Clean+AMC and Adv+AMC in Track B are distribution-driven simulations based on Track A AMC behavior, not per-sample AMC inference on synthetic bursts.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189" w:name="x1-17006x3"/>
      <w:bookmarkEnd w:id="189"/>
      <w:r>
        <w:rPr/>
        <w:t xml:space="preserve">The CSV artifact does not fully encode all CW hyperparameters used at runtime unless captured in command logs.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190" w:name="x1-17008x4"/>
      <w:bookmarkEnd w:id="190"/>
      <w:r>
        <w:rPr/>
        <w:t>Analog modulations (WBFM, AM-DSB, AM-SSB) are reported without CRC metrics (𝑛</w:t>
      </w:r>
      <w:r>
        <w:rPr>
          <w:rFonts w:ascii="LibertineMath;serif" w:hAnsi="LibertineMath;serif"/>
        </w:rPr>
        <w:t xml:space="preserve">= </w:t>
      </w:r>
      <w:r>
        <w:rPr>
          <w:rFonts w:ascii="Linux Libertine T;serif" w:hAnsi="Linux Libertine T;serif"/>
        </w:rPr>
        <w:t>0</w:t>
      </w:r>
      <w:r>
        <w:rPr/>
        <w:t>).</w:t>
      </w:r>
    </w:p>
    <w:p>
      <w:pPr>
        <w:pStyle w:val="Heading3sectionHead"/>
        <w:bidi w:val="0"/>
        <w:rPr/>
      </w:pPr>
      <w:r>
        <w:rPr/>
        <w:t xml:space="preserve">7 </w:t>
      </w:r>
      <w:bookmarkStart w:id="191" w:name="x1-180007"/>
      <w:bookmarkEnd w:id="191"/>
      <w:r>
        <w:rPr/>
        <w:t>Conclusion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Under the evaluated setup, CW nearly disables AMC, and CRC collapse is mainly realized through the AMC-dependent demodulation path. This identifies a practical system risk: classification robustness is not an isolated objective but a direct reliability dependency for link integrity. </w:t>
      </w:r>
    </w:p>
    <w:p>
      <w:pPr>
        <w:pStyle w:val="TextBodyindent"/>
        <w:bidi w:val="0"/>
        <w:jc w:val="left"/>
        <w:rPr/>
      </w:pPr>
      <w:r>
        <w:rPr/>
        <w:t xml:space="preserve">Artifact and Reproducibility All numeric results in this paper come from crc_experiment_results/crc_vs_amc.csv. A baseline reproduction command is: </w:t>
      </w:r>
    </w:p>
    <w:p>
      <w:pPr>
        <w:pStyle w:val="PreformattedTextverbatim"/>
        <w:bidi w:val="0"/>
        <w:jc w:val="left"/>
        <w:rPr/>
      </w:pPr>
      <w:bookmarkStart w:id="192" w:name="verbatim-1"/>
      <w:bookmarkEnd w:id="192"/>
      <w:r>
        <w:rPr/>
        <w:t>python crc_experiment.py --ckpt_path ./checkpoint \</w:t>
      </w:r>
    </w:p>
    <w:p>
      <w:pPr>
        <w:pStyle w:val="PreformattedTextverbatim"/>
        <w:bidi w:val="0"/>
        <w:spacing w:before="0" w:after="283"/>
        <w:jc w:val="left"/>
        <w:rPr/>
      </w:pPr>
      <w:r>
        <w:rPr/>
        <w:t>  </w:t>
      </w:r>
      <w:r>
        <w:rPr/>
        <w:t>--output_dir ./crc_experiment_results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For exact reproducibility, explicitly set and record n_bursts, cw_c, cw_steps, seed, and ta_box. </w:t>
      </w:r>
    </w:p>
    <w:p>
      <w:pPr>
        <w:pStyle w:val="TextBodyindent"/>
        <w:bidi w:val="0"/>
        <w:jc w:val="left"/>
        <w:rPr/>
      </w:pPr>
      <w:r>
        <w:rPr/>
        <w:t>References</w:t>
      </w:r>
      <w:bookmarkStart w:id="193" w:name="likesection.2"/>
      <w:bookmarkStart w:id="194" w:name="x1-18001x2"/>
      <w:bookmarkStart w:id="195" w:name="Q1-1-21"/>
      <w:bookmarkEnd w:id="193"/>
      <w:bookmarkEnd w:id="194"/>
      <w:bookmarkEnd w:id="195"/>
      <w:r>
        <w:rPr/>
        <w:t xml:space="preserve"> </w:t>
      </w:r>
    </w:p>
    <w:p>
      <w:pPr>
        <w:pStyle w:val="TextBodybibitem"/>
        <w:bidi w:val="0"/>
        <w:jc w:val="left"/>
        <w:rPr/>
      </w:pPr>
      <w:bookmarkStart w:id="196" w:name="Xcarlini2017"/>
      <w:bookmarkEnd w:id="196"/>
      <w:r>
        <w:rPr>
          <w:rFonts w:ascii="Linux Libertine T;serif" w:hAnsi="Linux Libertine T;serif"/>
        </w:rPr>
        <w:t>[1]</w:t>
      </w:r>
      <w:r>
        <w:rPr/>
        <w:t xml:space="preserve">    </w:t>
      </w:r>
      <w:r>
        <w:rPr>
          <w:rFonts w:ascii="Linux Libertine T;serif" w:hAnsi="Linux Libertine T;serif"/>
        </w:rPr>
        <w:t>N. Carlini and D. Wagner, “Towards Evaluating the Robustness of Neural</w:t>
      </w:r>
      <w:r>
        <w:rPr/>
        <w:t xml:space="preserve"> </w:t>
      </w:r>
      <w:r>
        <w:rPr>
          <w:rFonts w:ascii="Linux Libertine T;serif" w:hAnsi="Linux Libertine T;serif"/>
        </w:rPr>
        <w:t xml:space="preserve">Networks,” in </w:t>
      </w:r>
      <w:r>
        <w:rPr>
          <w:rFonts w:ascii="Linux Libertine T;serif" w:hAnsi="Linux Libertine T;serif"/>
          <w:i/>
        </w:rPr>
        <w:t>Proc. IEEE Symposium on Security and Privacy</w:t>
      </w:r>
      <w:r>
        <w:rPr>
          <w:rFonts w:ascii="Linux Libertine T;serif" w:hAnsi="Linux Libertine T;serif"/>
        </w:rPr>
        <w:t>, 2017, pp. 39–57.</w:t>
      </w:r>
      <w:r>
        <w:rPr/>
        <w:t xml:space="preserve"> </w:t>
      </w:r>
    </w:p>
    <w:p>
      <w:pPr>
        <w:pStyle w:val="TextBodybibitem"/>
        <w:bidi w:val="0"/>
        <w:jc w:val="left"/>
        <w:rPr/>
      </w:pPr>
      <w:bookmarkStart w:id="197" w:name="Xoshea2016"/>
      <w:bookmarkEnd w:id="197"/>
      <w:r>
        <w:rPr>
          <w:rFonts w:ascii="Linux Libertine T;serif" w:hAnsi="Linux Libertine T;serif"/>
        </w:rPr>
        <w:t>[2]</w:t>
      </w:r>
      <w:r>
        <w:rPr/>
        <w:t xml:space="preserve">    </w:t>
      </w:r>
      <w:r>
        <w:rPr>
          <w:rFonts w:ascii="Linux Libertine T;serif" w:hAnsi="Linux Libertine T;serif"/>
        </w:rPr>
        <w:t>T. J. O’Shea, J. Corgan, and T. C. Clancy, “Convolutional Radio Modulation</w:t>
      </w:r>
      <w:r>
        <w:rPr/>
        <w:t xml:space="preserve"> </w:t>
      </w:r>
      <w:r>
        <w:rPr>
          <w:rFonts w:ascii="Linux Libertine T;serif" w:hAnsi="Linux Libertine T;serif"/>
        </w:rPr>
        <w:t xml:space="preserve">Recognition Networks,” in </w:t>
      </w:r>
      <w:r>
        <w:rPr>
          <w:rFonts w:ascii="Linux Libertine T;serif" w:hAnsi="Linux Libertine T;serif"/>
          <w:i/>
        </w:rPr>
        <w:t>Proc. International Conference on Engineering</w:t>
      </w:r>
      <w:r>
        <w:rPr/>
        <w:t xml:space="preserve"> </w:t>
      </w:r>
      <w:r>
        <w:rPr>
          <w:rFonts w:ascii="Linux Libertine T;serif" w:hAnsi="Linux Libertine T;serif"/>
          <w:i/>
        </w:rPr>
        <w:t>Applications of Neural Networks</w:t>
      </w:r>
      <w:r>
        <w:rPr>
          <w:rFonts w:ascii="Linux Libertine T;serif" w:hAnsi="Linux Libertine T;serif"/>
        </w:rPr>
        <w:t>, 2016.</w:t>
      </w:r>
      <w:r>
        <w:rPr/>
        <w:t xml:space="preserve"> </w:t>
      </w:r>
    </w:p>
    <w:p>
      <w:pPr>
        <w:pStyle w:val="TextBodybibitem"/>
        <w:bidi w:val="0"/>
        <w:jc w:val="left"/>
        <w:rPr/>
      </w:pPr>
      <w:bookmarkStart w:id="198" w:name="Xdeepsig2016"/>
      <w:bookmarkEnd w:id="198"/>
      <w:r>
        <w:rPr>
          <w:rFonts w:ascii="Linux Libertine T;serif" w:hAnsi="Linux Libertine T;serif"/>
        </w:rPr>
        <w:t>[3]</w:t>
      </w:r>
      <w:r>
        <w:rPr/>
        <w:t xml:space="preserve">    </w:t>
      </w:r>
      <w:r>
        <w:rPr>
          <w:rFonts w:ascii="Linux Libertine T;serif" w:hAnsi="Linux Libertine T;serif"/>
        </w:rPr>
        <w:t>DeepSig, “RadioML 2016.10A Dataset,” 2016. [Online]. Available:</w:t>
      </w:r>
      <w:r>
        <w:rPr/>
        <w:t xml:space="preserve"> </w:t>
      </w:r>
      <w:hyperlink r:id="rId3">
        <w:r>
          <w:rPr>
            <w:rStyle w:val="InternetLink"/>
            <w:rFonts w:ascii="Linux Libertine T;serif" w:hAnsi="Linux Libertine T;serif"/>
          </w:rPr>
          <w:t>https://www.deepsig.ai/datasets</w:t>
        </w:r>
      </w:hyperlink>
      <w:r>
        <w:rPr/>
        <w:t xml:space="preserve"> </w:t>
      </w:r>
    </w:p>
    <w:p>
      <w:pPr>
        <w:pStyle w:val="TextBodybibitem"/>
        <w:bidi w:val="0"/>
        <w:spacing w:before="0" w:after="283"/>
        <w:jc w:val="left"/>
        <w:rPr/>
      </w:pPr>
      <w:bookmarkStart w:id="199" w:name="Xrepo"/>
      <w:bookmarkEnd w:id="199"/>
      <w:r>
        <w:rPr>
          <w:rFonts w:ascii="Linux Libertine T;serif" w:hAnsi="Linux Libertine T;serif"/>
        </w:rPr>
        <w:t>[4]</w:t>
      </w:r>
      <w:r>
        <w:rPr/>
        <w:t xml:space="preserve">    </w:t>
      </w:r>
      <w:r>
        <w:rPr>
          <w:rFonts w:ascii="Linux Libertine T;serif" w:hAnsi="Linux Libertine T;serif"/>
        </w:rPr>
        <w:t>adversarial-rf project, “AWN and adversarial RF experiments,” repository</w:t>
      </w:r>
      <w:r>
        <w:rPr/>
        <w:t xml:space="preserve"> </w:t>
      </w:r>
      <w:r>
        <w:rPr>
          <w:rFonts w:ascii="Linux Libertine T;serif" w:hAnsi="Linux Libertine T;serif"/>
        </w:rPr>
        <w:t>artifact, 2026.</w:t>
      </w:r>
      <w:r>
        <w:rPr/>
        <w:t xml:space="preserve">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monospace">
    <w:charset w:val="01"/>
    <w:family w:val="auto"/>
    <w:pitch w:val="default"/>
  </w:font>
  <w:font w:name="Linux Libertine T">
    <w:altName w:val="serif"/>
    <w:charset w:val="01"/>
    <w:family w:val="auto"/>
    <w:pitch w:val="default"/>
  </w:font>
  <w:font w:name="Linux Biolinum T">
    <w:altName w:val="serif"/>
    <w:charset w:val="01"/>
    <w:family w:val="auto"/>
    <w:pitch w:val="default"/>
  </w:font>
  <w:font w:name="LibertineMath">
    <w:altName w:val="serif"/>
    <w:charset w:val="01"/>
    <w:family w:val="auto"/>
    <w:pitch w:val="default"/>
  </w:font>
  <w:font w:name="txsys">
    <w:altName w:val="serif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VisitedInternetLink">
    <w:name w:val="FollowedHyperlink"/>
    <w:rPr>
      <w:color w:val="80000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indent">
    <w:name w:val="Text Body.indent"/>
    <w:basedOn w:val="TextBody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PreformattedTextverbatim">
    <w:name w:val="Preformatted Text.verbatim"/>
    <w:basedOn w:val="PreformattedText"/>
    <w:qFormat/>
    <w:pPr>
      <w:jc w:val="left"/>
    </w:pPr>
    <w:rPr>
      <w:rFonts w:ascii="monospace;monospace" w:hAnsi="monospace;monospace" w:eastAsia="monospace;monospace" w:cs="monospace;monospace"/>
    </w:rPr>
  </w:style>
  <w:style w:type="paragraph" w:styleId="Heading2titleHead">
    <w:name w:val="Heading 2.titleHead"/>
    <w:basedOn w:val="Heading2"/>
    <w:qFormat/>
    <w:pPr>
      <w:ind w:hanging="0"/>
      <w:jc w:val="center"/>
      <w:outlineLvl w:val="9"/>
    </w:pPr>
    <w:rPr/>
  </w:style>
  <w:style w:type="paragraph" w:styleId="TextBodybibitem">
    <w:name w:val="Text Body.bibitem"/>
    <w:basedOn w:val="TextBody"/>
    <w:qFormat/>
    <w:pPr/>
    <w:rPr/>
  </w:style>
  <w:style w:type="paragraph" w:styleId="TextBodybibitemp">
    <w:name w:val="Text Body.bibitem-p"/>
    <w:basedOn w:val="TextBody"/>
    <w:qFormat/>
    <w:pPr/>
    <w:rPr/>
  </w:style>
  <w:style w:type="paragraph" w:styleId="Heading3sectionHead">
    <w:name w:val="Heading 3.sectionHead"/>
    <w:basedOn w:val="Heading3"/>
    <w:qFormat/>
    <w:pPr>
      <w:ind w:hanging="0"/>
      <w:jc w:val="center"/>
      <w:outlineLvl w:val="9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nigel/opensource/adversarial-rf/paper/latex/word_export_html/crc_experiment_acm0x.png" TargetMode="External"/><Relationship Id="rId3" Type="http://schemas.openxmlformats.org/officeDocument/2006/relationships/hyperlink" Target="https://www.deepsig.ai/datasets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Impact of AMC-Oriented CW Adversarial Attacks on CRC Integrity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src">
    <vt:lpwstr>crc_experiment_acm.tex</vt:lpwstr>
  </property>
  <property fmtid="{D5CDD505-2E9C-101B-9397-08002B2CF9AE}" pid="4" name="viewport">
    <vt:lpwstr>width=device-width,initial-scale=1</vt:lpwstr>
  </property>
</Properties>
</file>