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tbl>
      <w:tblPr>
        <w:tblW w:type="pct" w:w="100%"/>
        <w:jc w:val="center"/>
        <w:tblBorders>
          <w:top w:val="single" w:color="1B5E20" w:sz="12"/>
          <w:left w:val="single" w:color="1B5E20" w:sz="12"/>
          <w:bottom w:val="single" w:color="1B5E20" w:sz="12"/>
          <w:right w:val="single" w:color="1B5E20" w:sz="12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60" w:before="60" w:line="320"/>
              <w:jc w:val="center"/>
            </w:pPr>
            <w:r>
              <w:rPr>
                <w:rFonts w:ascii="宋体" w:eastAsia="宋体" w:hAnsi="宋体"/>
                <w:b/>
                <w:bCs/>
                <w:color w:val="1B5E20"/>
                <w:sz w:val="26"/>
                <w:szCs w:val="26"/>
              </w:rPr>
              <w:t xml:space="preserve">西北民族大学</w:t>
            </w:r>
          </w:p>
        </w:tc>
        <w:tc>
          <w:tcPr>
            <w:tcW w:type="pct" w:w="34%"/>
          </w:tcPr>
          <w:p>
            <w:pPr>
              <w:spacing w:after="60" w:before="60" w:line="320"/>
              <w:jc w:val="center"/>
            </w:pPr>
            <w:r>
              <w:rPr>
                <w:rFonts w:ascii="宋体" w:eastAsia="宋体" w:hAnsi="宋体"/>
                <w:b/>
                <w:bCs/>
                <w:color w:val="1B5E20"/>
                <w:sz w:val="26"/>
                <w:szCs w:val="26"/>
              </w:rPr>
              <w:t xml:space="preserve">新闻传播学院</w:t>
            </w:r>
          </w:p>
        </w:tc>
        <w:tc>
          <w:tcPr>
            <w:tcW w:type="pct" w:w="33%"/>
          </w:tcPr>
          <w:p>
            <w:pPr>
              <w:spacing w:after="60" w:before="60" w:line="320"/>
              <w:jc w:val="center"/>
            </w:pPr>
            <w:r>
              <w:rPr>
                <w:rFonts w:ascii="宋体" w:eastAsia="宋体" w:hAnsi="宋体"/>
                <w:b/>
                <w:bCs/>
                <w:color w:val="1B5E20"/>
                <w:sz w:val="26"/>
                <w:szCs w:val="26"/>
              </w:rPr>
              <w:t xml:space="preserve">作品说明书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999999" w:sz="8"/>
          <w:left w:val="single" w:color="999999" w:sz="8"/>
          <w:bottom w:val="single" w:color="999999" w:sz="8"/>
          <w:right w:val="single" w:color="999999" w:sz="8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F1F8E9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color w:val="1B5E20"/>
                <w:sz w:val="22"/>
                <w:szCs w:val="22"/>
              </w:rPr>
              <w:t xml:space="preserve">学期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2025-2026-2</w:t>
            </w:r>
          </w:p>
        </w:tc>
        <w:tc>
          <w:tcPr>
            <w:tcW w:type="pct" w:w="15%"/>
            <w:shd w:fill="F1F8E9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color w:val="1B5E20"/>
                <w:sz w:val="22"/>
                <w:szCs w:val="22"/>
              </w:rPr>
              <w:t xml:space="preserve">课程名称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数据新闻理论与实践</w:t>
            </w:r>
          </w:p>
        </w:tc>
      </w:tr>
      <w:tr>
        <w:tc>
          <w:tcPr>
            <w:tcW w:type="pct" w:w="15%"/>
            <w:shd w:fill="F1F8E9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color w:val="1B5E20"/>
                <w:sz w:val="22"/>
                <w:szCs w:val="22"/>
              </w:rPr>
              <w:t xml:space="preserve">专业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新闻学</w:t>
            </w:r>
          </w:p>
        </w:tc>
        <w:tc>
          <w:tcPr>
            <w:tcW w:type="pct" w:w="15%"/>
            <w:shd w:fill="F1F8E9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color w:val="1B5E20"/>
                <w:sz w:val="22"/>
                <w:szCs w:val="22"/>
              </w:rPr>
              <w:t xml:space="preserve">班级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2024级新闻学3班</w:t>
            </w:r>
          </w:p>
        </w:tc>
      </w:tr>
      <w:tr>
        <w:tc>
          <w:tcPr>
            <w:tcW w:type="pct" w:w="15%"/>
            <w:shd w:fill="F1F8E9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color w:val="1B5E20"/>
                <w:sz w:val="22"/>
                <w:szCs w:val="22"/>
              </w:rPr>
              <w:t xml:space="preserve">作品名称</w:t>
            </w:r>
          </w:p>
        </w:tc>
        <w:tc>
          <w:tcPr>
            <w:tcW w:type="pct" w:w="70%"/>
            <w:gridSpan w:val="3"/>
          </w:tcPr>
          <w:p>
            <w:pPr>
              <w:spacing w:after="60" w:before="60" w:line="320"/>
              <w:jc w:val="center"/>
            </w:pPr>
            <w:r>
              <w:rPr>
                <w:rFonts w:ascii="宋体" w:eastAsia="宋体" w:hAnsi="宋体"/>
                <w:b/>
                <w:bCs/>
                <w:color w:val="1B5E20"/>
                <w:sz w:val="24"/>
                <w:szCs w:val="24"/>
              </w:rPr>
              <w:t xml:space="preserve">中国森林、湿地覆盖率各省对比</w:t>
            </w:r>
          </w:p>
        </w:tc>
      </w:tr>
    </w:tbl>
    <w:p>
      <w:pPr>
        <w:spacing w:after="200"/>
        <w:jc w:val="center"/>
      </w:pPr>
      <w:r>
        <w:rPr>
          <w:rFonts w:ascii="黑体" w:eastAsia="黑体" w:hAnsi="黑体"/>
          <w:b/>
          <w:bCs/>
          <w:color w:val="1B5E20"/>
          <w:sz w:val="32"/>
          <w:szCs w:val="32"/>
        </w:rPr>
        <w:t xml:space="preserve">《数据新闻理论与实践》作品创作说明</w:t>
      </w:r>
    </w:p>
    <w:tbl>
      <w:tblPr>
        <w:tblW w:type="pct" w:w="100%"/>
        <w:tblBorders>
          <w:top w:val="single" w:color="999999" w:sz="8"/>
          <w:left w:val="single" w:color="999999" w:sz="8"/>
          <w:bottom w:val="single" w:color="999999" w:sz="8"/>
          <w:right w:val="single" w:color="999999" w:sz="8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E7D32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color w:val="FFFFFF"/>
                <w:sz w:val="24"/>
                <w:szCs w:val="24"/>
              </w:rPr>
              <w:t xml:space="preserve">成员名单</w:t>
            </w:r>
          </w:p>
        </w:tc>
        <w:tc>
          <w:tcPr>
            <w:tcW w:type="pct" w:w="25%"/>
            <w:shd w:fill="2E7D32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color w:val="FFFFFF"/>
                <w:sz w:val="24"/>
                <w:szCs w:val="24"/>
              </w:rPr>
              <w:t xml:space="preserve">学号</w:t>
            </w:r>
          </w:p>
        </w:tc>
        <w:tc>
          <w:tcPr>
            <w:tcW w:type="pct" w:w="25%"/>
            <w:shd w:fill="2E7D32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color w:val="FFFFFF"/>
                <w:sz w:val="24"/>
                <w:szCs w:val="24"/>
              </w:rPr>
              <w:t xml:space="preserve">姓名</w:t>
            </w:r>
          </w:p>
        </w:tc>
        <w:tc>
          <w:tcPr>
            <w:tcW w:type="pct" w:w="25%"/>
            <w:shd w:fill="2E7D32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color w:val="FFFFFF"/>
                <w:sz w:val="24"/>
                <w:szCs w:val="24"/>
              </w:rPr>
              <w:t xml:space="preserve">任务分工</w:t>
            </w:r>
          </w:p>
        </w:tc>
      </w:tr>
      <w:tr>
        <w:tc>
          <w:tcPr>
            <w:shd w:fill="F1F8E9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成员1</w:t>
            </w:r>
          </w:p>
        </w:tc>
        <w:tc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P241012401</w:t>
            </w:r>
          </w:p>
        </w:tc>
        <w:tc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color w:val="000000"/>
                <w:sz w:val="22"/>
                <w:szCs w:val="22"/>
              </w:rPr>
              <w:t xml:space="preserve">甘校松</w:t>
            </w:r>
          </w:p>
        </w:tc>
        <w:tc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数据检索与整理</w:t>
            </w:r>
          </w:p>
        </w:tc>
      </w:tr>
      <w:tr>
        <w:tc>
          <w:tcPr>
            <w:shd w:fill="F1F8E9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成员2</w:t>
            </w:r>
          </w:p>
        </w:tc>
        <w:tc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P241012428</w:t>
            </w:r>
          </w:p>
        </w:tc>
        <w:tc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color w:val="000000"/>
                <w:sz w:val="22"/>
                <w:szCs w:val="22"/>
              </w:rPr>
              <w:t xml:space="preserve">安欣</w:t>
            </w:r>
          </w:p>
        </w:tc>
        <w:tc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图表配色与交互</w:t>
            </w:r>
          </w:p>
        </w:tc>
      </w:tr>
      <w:tr>
        <w:tc>
          <w:tcPr>
            <w:shd w:fill="F1F8E9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成员3</w:t>
            </w:r>
          </w:p>
        </w:tc>
        <w:tc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P241012460</w:t>
            </w:r>
          </w:p>
        </w:tc>
        <w:tc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color w:val="000000"/>
                <w:sz w:val="22"/>
                <w:szCs w:val="22"/>
              </w:rPr>
              <w:t xml:space="preserve">邓继诚</w:t>
            </w:r>
          </w:p>
        </w:tc>
        <w:tc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作品说明撰写、统筹</w:t>
            </w:r>
          </w:p>
        </w:tc>
      </w:tr>
      <w:tr>
        <w:tc>
          <w:tcPr>
            <w:shd w:fill="F1F8E9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成员4</w:t>
            </w:r>
          </w:p>
        </w:tc>
        <w:tc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P241012407</w:t>
            </w:r>
          </w:p>
        </w:tc>
        <w:tc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color w:val="000000"/>
                <w:sz w:val="22"/>
                <w:szCs w:val="22"/>
              </w:rPr>
              <w:t xml:space="preserve">方子轩</w:t>
            </w:r>
          </w:p>
        </w:tc>
        <w:tc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数据校验与查漏补缺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1B5E20" w:sz="12"/>
          <w:left w:val="single" w:color="1B5E20" w:sz="12"/>
          <w:bottom w:val="single" w:color="1B5E20" w:sz="12"/>
          <w:right w:val="single" w:color="1B5E20" w:sz="12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shd w:fill="2E7D32"/>
          </w:tcPr>
          <w:p>
            <w:pPr>
              <w:spacing w:after="60" w:before="60" w:line="320"/>
              <w:jc w:val="center"/>
            </w:pPr>
            <w:r>
              <w:rPr>
                <w:rFonts w:ascii="宋体" w:eastAsia="宋体" w:hAnsi="宋体"/>
                <w:b/>
                <w:bCs/>
                <w:color w:val="FFFFFF"/>
                <w:sz w:val="28"/>
                <w:szCs w:val="28"/>
              </w:rPr>
              <w:t xml:space="preserve">一、作品简介</w:t>
            </w:r>
          </w:p>
        </w:tc>
      </w:tr>
    </w:tbl>
    <w:tbl>
      <w:tblPr>
        <w:tblW w:type="pct" w:w="100%"/>
        <w:tblBorders>
          <w:top w:val="single" w:color="999999" w:sz="8"/>
          <w:left w:val="single" w:color="999999" w:sz="8"/>
          <w:bottom w:val="single" w:color="999999" w:sz="8"/>
          <w:right w:val="single" w:color="999999" w:sz="8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</w:tcPr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《中国森林、湿地覆盖率各省对比》是一组聚焦中国 31 个省级行政区生态资源空间分布格局的数据新闻作品，涵盖一个交互式信息可视化网页与配套图文报告。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选题背景：森林与湿地是衡量区域生态禀赋与生物多样性的两大核心指标。当前公众讨论多停留在「全国均值」，缺乏对省级差异、东南—西北分异规律的直观感知。本作品试图用统一的数据底板、可交互的图表与可对比的视角，把「绿色中国」的内部差异讲清楚。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选题意义：① 为生态文明建设成果提供省域尺度的可视化呈现；② 通过森林与湿地的耦合分析，揭示两类生态资源的「此消彼长」与「共生共存」关系；③ 沉淀一套可复用的数据新闻教学范式（选题—采集—清洗—可视化—解读—传播）。</w:t>
            </w:r>
          </w:p>
        </w:tc>
      </w:tr>
    </w:tbl>
    <w:tbl>
      <w:tblPr>
        <w:tblW w:type="pct" w:w="100%"/>
        <w:tblBorders>
          <w:top w:val="single" w:color="1B5E20" w:sz="12"/>
          <w:left w:val="single" w:color="1B5E20" w:sz="12"/>
          <w:bottom w:val="single" w:color="1B5E20" w:sz="12"/>
          <w:right w:val="single" w:color="1B5E20" w:sz="12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shd w:fill="2E7D32"/>
          </w:tcPr>
          <w:p>
            <w:pPr>
              <w:spacing w:after="60" w:before="60" w:line="320"/>
              <w:jc w:val="center"/>
            </w:pPr>
            <w:r>
              <w:rPr>
                <w:rFonts w:ascii="宋体" w:eastAsia="宋体" w:hAnsi="宋体"/>
                <w:b/>
                <w:bCs/>
                <w:color w:val="FFFFFF"/>
                <w:sz w:val="28"/>
                <w:szCs w:val="28"/>
              </w:rPr>
              <w:t xml:space="preserve">二、作品链接</w:t>
            </w:r>
          </w:p>
        </w:tc>
      </w:tr>
    </w:tbl>
    <w:tbl>
      <w:tblPr>
        <w:tblW w:type="pct" w:w="100%"/>
        <w:tblBorders>
          <w:top w:val="single" w:color="999999" w:sz="8"/>
          <w:left w:val="single" w:color="999999" w:sz="8"/>
          <w:bottom w:val="single" w:color="999999" w:sz="8"/>
          <w:right w:val="single" w:color="999999" w:sz="8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</w:tcPr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/>
                <w:bCs/>
                <w:color w:val="1B5E20"/>
                <w:sz w:val="22"/>
                <w:szCs w:val="22"/>
              </w:rPr>
              <w:t xml:space="preserve">（一）可在线访问的交互式信息可视化网页：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链接：https://604ad7e966da45e7b9927bbd5de18977.app.codebuddy.work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本作品为半动态交互式网页，共设 4 个 Tab：总览、排名对比、省市检索、双省对比，覆盖数字动画、雷达图、柱状图、散点图、检索表、双省对比等多种可视化形态。</w:t>
            </w:r>
          </w:p>
        </w:tc>
      </w:tr>
    </w:tbl>
    <w:tbl>
      <w:tblPr>
        <w:tblW w:type="pct" w:w="100%"/>
        <w:tblBorders>
          <w:top w:val="single" w:color="1B5E20" w:sz="12"/>
          <w:left w:val="single" w:color="1B5E20" w:sz="12"/>
          <w:bottom w:val="single" w:color="1B5E20" w:sz="12"/>
          <w:right w:val="single" w:color="1B5E20" w:sz="12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shd w:fill="2E7D32"/>
          </w:tcPr>
          <w:p>
            <w:pPr>
              <w:spacing w:after="60" w:before="60" w:line="320"/>
              <w:jc w:val="center"/>
            </w:pPr>
            <w:r>
              <w:rPr>
                <w:rFonts w:ascii="宋体" w:eastAsia="宋体" w:hAnsi="宋体"/>
                <w:b/>
                <w:bCs/>
                <w:color w:val="FFFFFF"/>
                <w:sz w:val="28"/>
                <w:szCs w:val="28"/>
              </w:rPr>
              <w:t xml:space="preserve">三、创作手记</w:t>
            </w:r>
          </w:p>
        </w:tc>
      </w:tr>
    </w:tbl>
    <w:tbl>
      <w:tblPr>
        <w:tblW w:type="pct" w:w="100%"/>
        <w:tblBorders>
          <w:top w:val="single" w:color="999999" w:sz="8"/>
          <w:left w:val="single" w:color="999999" w:sz="8"/>
          <w:bottom w:val="single" w:color="999999" w:sz="8"/>
          <w:right w:val="single" w:color="999999" w:sz="8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</w:tcPr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/>
                <w:bCs/>
                <w:color w:val="1B5E20"/>
                <w:sz w:val="24"/>
                <w:szCs w:val="24"/>
              </w:rPr>
              <w:t xml:space="preserve">（一）内容结构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作品采用「引言—指标解释—全国概览—分省对比—区域分析—双省深度对比—结论」的递进结构。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/>
                <w:bCs/>
                <w:color w:val="1B5E20"/>
                <w:sz w:val="24"/>
                <w:szCs w:val="24"/>
              </w:rPr>
              <w:t xml:space="preserve">（二）数据来源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1. 森林覆盖率：第九次全国森林资源清查（截至 2024 年）公开数据。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2. 湿地面积：国家统计局《第一次全国湿地资源调查（1995-2003）》汇总数据，单位：千公顷（不含水稻田湿地）。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3. 省辖区面积：自然资源部公开地理数据。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/>
                <w:bCs/>
                <w:color w:val="1B5E20"/>
                <w:sz w:val="24"/>
                <w:szCs w:val="24"/>
              </w:rPr>
              <w:t xml:space="preserve">（三）数据挖掘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基于 31 省原始数据计算了「湿地覆盖率 = 湿地面积 ÷ 省辖区面积 × 100%」指标；按七大地理分区（华东/华南/西南/华中/华北/东北/西北）聚合分析；构建森林覆盖率 × 湿地覆盖率二维分类模型，形成「双高/林高湿低/湿高林低/双低」四象限。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/>
                <w:bCs/>
                <w:color w:val="1B5E20"/>
                <w:sz w:val="24"/>
                <w:szCs w:val="24"/>
              </w:rPr>
              <w:t xml:space="preserve">（四）数据分析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关键发现：① 福建（66.80%）、江西、广西、浙江构成「东南林区」第一梯队；② 上海（50.74%）、天津（14.44%）位列湿地覆盖率前两位，主因滨海滩涂与河口湿地；③ 西藏、青海、黑龙江为湿地面积总量三强，但单位面积湿地率仍受地形约束。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/>
                <w:bCs/>
                <w:color w:val="1B5E20"/>
                <w:sz w:val="24"/>
                <w:szCs w:val="24"/>
              </w:rPr>
              <w:t xml:space="preserve">（五）数据可视化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采用 ECharts 5 + HTML/CSS3 技术栈。配色以森林绿、湿地蓝为主色，辅以金色与暖橙强调关键数据；所有图表均支持 hover 高亮、点击钻取、滑块缩放、brush 框选、雷达对比、动画数字计数器等多种交互形式。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/>
                <w:bCs/>
                <w:color w:val="1B5E20"/>
                <w:sz w:val="24"/>
                <w:szCs w:val="24"/>
              </w:rPr>
              <w:t xml:space="preserve">（六）心路历程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选题阶段曾考虑加入「草原覆盖率」与「物种多样性指数」两项指标，后因数据可得性与可视化复杂度权衡放弃。数据采集阶段遭遇部分省份湿地数据缺失，最终选用国家林业局「第一次全国湿地调查」作为权威统一来源。可视化阶段尝试过地图热力图，因加载速度与配色平衡问题调整为二维散点 + 区域进度条方案。</w:t>
            </w:r>
          </w:p>
        </w:tc>
      </w:tr>
    </w:tbl>
    <w:tbl>
      <w:tblPr>
        <w:tblW w:type="pct" w:w="100%"/>
        <w:tblBorders>
          <w:top w:val="single" w:color="1B5E20" w:sz="12"/>
          <w:left w:val="single" w:color="1B5E20" w:sz="12"/>
          <w:bottom w:val="single" w:color="1B5E20" w:sz="12"/>
          <w:right w:val="single" w:color="1B5E20" w:sz="12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shd w:fill="2E7D32"/>
          </w:tcPr>
          <w:p>
            <w:pPr>
              <w:spacing w:after="60" w:before="60" w:line="320"/>
              <w:jc w:val="center"/>
            </w:pPr>
            <w:r>
              <w:rPr>
                <w:rFonts w:ascii="宋体" w:eastAsia="宋体" w:hAnsi="宋体"/>
                <w:b/>
                <w:bCs/>
                <w:color w:val="FFFFFF"/>
                <w:sz w:val="28"/>
                <w:szCs w:val="28"/>
              </w:rPr>
              <w:t xml:space="preserve">四、使用工具及使用阐释</w:t>
            </w:r>
          </w:p>
        </w:tc>
      </w:tr>
    </w:tbl>
    <w:tbl>
      <w:tblPr>
        <w:tblW w:type="pct" w:w="100%"/>
        <w:tblBorders>
          <w:top w:val="single" w:color="999999" w:sz="8"/>
          <w:left w:val="single" w:color="999999" w:sz="8"/>
          <w:bottom w:val="single" w:color="999999" w:sz="8"/>
          <w:right w:val="single" w:color="999999" w:sz="8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</w:tcPr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1. 数据检索：百度搜索、必应搜索、WebFetch 抓取公开统计报告。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2. 数据整理：Excel（原始数据清洗 + 公式计算湿地覆盖率）。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3. 可视化开发：ECharts 5（图表）+ HTML5/CSS3（页面框架与样式）+ JavaScript（交互逻辑）。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4. 文档撰写：Node.js + docx 库（Word 报告生成）、FPDF2（PDF 报告生成）、Python 3.13。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5. 部署与传播：CloudStudio 静态站点托管（在线访问）、GitHub Pages（开源版本）。</w:t>
            </w:r>
          </w:p>
        </w:tc>
      </w:tr>
    </w:tbl>
    <w:tbl>
      <w:tblPr>
        <w:tblW w:type="pct" w:w="100%"/>
        <w:tblBorders>
          <w:top w:val="single" w:color="1B5E20" w:sz="12"/>
          <w:left w:val="single" w:color="1B5E20" w:sz="12"/>
          <w:bottom w:val="single" w:color="1B5E20" w:sz="12"/>
          <w:right w:val="single" w:color="1B5E20" w:sz="12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shd w:fill="2E7D32"/>
          </w:tcPr>
          <w:p>
            <w:pPr>
              <w:spacing w:after="60" w:before="60" w:line="320"/>
              <w:jc w:val="center"/>
            </w:pPr>
            <w:r>
              <w:rPr>
                <w:rFonts w:ascii="宋体" w:eastAsia="宋体" w:hAnsi="宋体"/>
                <w:b/>
                <w:bCs/>
                <w:color w:val="FFFFFF"/>
                <w:sz w:val="28"/>
                <w:szCs w:val="28"/>
              </w:rPr>
              <w:t xml:space="preserve">五、素材使用情况说明</w:t>
            </w:r>
          </w:p>
        </w:tc>
      </w:tr>
    </w:tbl>
    <w:tbl>
      <w:tblPr>
        <w:tblW w:type="pct" w:w="100%"/>
        <w:tblBorders>
          <w:top w:val="single" w:color="999999" w:sz="8"/>
          <w:left w:val="single" w:color="999999" w:sz="8"/>
          <w:bottom w:val="single" w:color="999999" w:sz="8"/>
          <w:right w:val="single" w:color="999999" w:sz="8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</w:tcPr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1. 图表数据：均来自第九次全国森林资源清查、国家统计局湿地调查；地理区划采用国家统计局七大分区标准。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2. 配色方案：参考国家林草局官方色卡与 UNEP「绿色中国」生态报告视觉语言。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3. 字体：宋体（正文）、微软雅黑（标题）、Arial Unicode MS（西文与数字）。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4. 互动组件：ECharts 图表库（Apache 2.0 协议），免费用于非商业用途。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5. 全部素材为公开数据或开源库，无版权争议。</w:t>
            </w:r>
          </w:p>
        </w:tc>
      </w:tr>
    </w:tbl>
    <w:tbl>
      <w:tblPr>
        <w:tblW w:type="pct" w:w="100%"/>
        <w:tblBorders>
          <w:top w:val="single" w:color="1B5E20" w:sz="12"/>
          <w:left w:val="single" w:color="1B5E20" w:sz="12"/>
          <w:bottom w:val="single" w:color="1B5E20" w:sz="12"/>
          <w:right w:val="single" w:color="1B5E20" w:sz="12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shd w:fill="2E7D32"/>
          </w:tcPr>
          <w:p>
            <w:pPr>
              <w:spacing w:after="60" w:before="60" w:line="320"/>
              <w:jc w:val="center"/>
            </w:pPr>
            <w:r>
              <w:rPr>
                <w:rFonts w:ascii="宋体" w:eastAsia="宋体" w:hAnsi="宋体"/>
                <w:b/>
                <w:bCs/>
                <w:color w:val="FFFFFF"/>
                <w:sz w:val="28"/>
                <w:szCs w:val="28"/>
              </w:rPr>
              <w:t xml:space="preserve">六、作品亮点和不足之处</w:t>
            </w:r>
          </w:p>
        </w:tc>
      </w:tr>
    </w:tbl>
    <w:tbl>
      <w:tblPr>
        <w:tblW w:type="pct" w:w="100%"/>
        <w:tblBorders>
          <w:top w:val="single" w:color="999999" w:sz="8"/>
          <w:left w:val="single" w:color="999999" w:sz="8"/>
          <w:bottom w:val="single" w:color="999999" w:sz="8"/>
          <w:right w:val="single" w:color="999999" w:sz="8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</w:tcPr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/>
                <w:bCs/>
                <w:color w:val="1B5E20"/>
                <w:sz w:val="24"/>
                <w:szCs w:val="24"/>
              </w:rPr>
              <w:t xml:space="preserve">（一）亮点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1. 双指标耦合：首次将「森林覆盖率」与「湿地覆盖率」置于同一坐标系进行 31 省比较，形成四象限分类模型；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2. 半动态交互：4 个 Tab 涵盖 6+ 种图表形态，支持搜索、排序、框选、双省对比等十余种交互动作；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3. 数据透明：所有数据来源、计算公式、更新时间均在作品中明示，符合数据新闻「可验证性」原则；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4. 视觉规范：统一的绿/蓝主色调 + 四大地理分区的差异化强调色，提升可读性与记忆点。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/>
                <w:bCs/>
                <w:color w:val="1B5E20"/>
                <w:sz w:val="24"/>
                <w:szCs w:val="24"/>
              </w:rPr>
              <w:t xml:space="preserve">（二）不足之处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1. 数据时效性：湿地数据仍以 2003 年首次调查为底，2010 年后的二调数据未在全国层面完整公开；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2. 移动端适配：当前版本以 PC 端为主，手机端图表密度可进一步优化；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3. 空间维度：尚未加入 GIS 地图与热力图模块，下一版将引入；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4. 故事性：报告偏「数据呈现」，可进一步加入人物故事、保护区案例等叙事元素。</w:t>
            </w:r>
          </w:p>
        </w:tc>
      </w:tr>
    </w:tbl>
    <w:tbl>
      <w:tblPr>
        <w:tblW w:type="pct" w:w="100%"/>
        <w:tblBorders>
          <w:top w:val="single" w:color="1B5E20" w:sz="12"/>
          <w:left w:val="single" w:color="1B5E20" w:sz="12"/>
          <w:bottom w:val="single" w:color="1B5E20" w:sz="12"/>
          <w:right w:val="single" w:color="1B5E20" w:sz="12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shd w:fill="2E7D32"/>
          </w:tcPr>
          <w:p>
            <w:pPr>
              <w:spacing w:after="60" w:before="60" w:line="320"/>
              <w:jc w:val="center"/>
            </w:pPr>
            <w:r>
              <w:rPr>
                <w:rFonts w:ascii="宋体" w:eastAsia="宋体" w:hAnsi="宋体"/>
                <w:b/>
                <w:bCs/>
                <w:color w:val="FFFFFF"/>
                <w:sz w:val="28"/>
                <w:szCs w:val="28"/>
              </w:rPr>
              <w:t xml:space="preserve">七、小组合作情况及任务分工</w:t>
            </w:r>
          </w:p>
        </w:tc>
      </w:tr>
    </w:tbl>
    <w:tbl>
      <w:tblPr>
        <w:tblW w:type="pct" w:w="100%"/>
        <w:tblBorders>
          <w:top w:val="single" w:color="999999" w:sz="8"/>
          <w:left w:val="single" w:color="999999" w:sz="8"/>
          <w:bottom w:val="single" w:color="999999" w:sz="8"/>
          <w:right w:val="single" w:color="999999" w:sz="8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</w:tcPr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/>
                <w:bCs/>
                <w:color w:val="000000"/>
                <w:sz w:val="22"/>
                <w:szCs w:val="22"/>
              </w:rPr>
              <w:t xml:space="preserve">本作品由 4 人小组合作完成，分工如下：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• 甘校松（P241012401）：数据检索与整理，原始表格清洗、湿地覆盖率公式计算与校对。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• 安欣（P241012428）：图表配色与交互设计，七大区域配色方案、动画细节、用户体验优化。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• 邓继诚（P241012460）：作品说明撰写、统筹，HTML/ECharts 编码、Word/PDF 报告生成、项目协调。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• 方子轩（P241012407）：数据校验与查漏补缺，跨源数据交叉验证，参考资料整理。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小组每周固定 2 次碰头会，使用腾讯会议 + 微信群协作；累计提交 git commit 50+ 次。</w:t>
            </w:r>
          </w:p>
        </w:tc>
      </w:tr>
    </w:tbl>
    <w:tbl>
      <w:tblPr>
        <w:tblW w:type="pct" w:w="100%"/>
        <w:tblBorders>
          <w:top w:val="single" w:color="1B5E20" w:sz="12"/>
          <w:left w:val="single" w:color="1B5E20" w:sz="12"/>
          <w:bottom w:val="single" w:color="1B5E20" w:sz="12"/>
          <w:right w:val="single" w:color="1B5E20" w:sz="12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shd w:fill="2E7D32"/>
          </w:tcPr>
          <w:p>
            <w:pPr>
              <w:spacing w:after="60" w:before="60" w:line="320"/>
              <w:jc w:val="center"/>
            </w:pPr>
            <w:r>
              <w:rPr>
                <w:rFonts w:ascii="宋体" w:eastAsia="宋体" w:hAnsi="宋体"/>
                <w:b/>
                <w:bCs/>
                <w:color w:val="FFFFFF"/>
                <w:sz w:val="28"/>
                <w:szCs w:val="28"/>
              </w:rPr>
              <w:t xml:space="preserve">八、其它需要说明的内容</w:t>
            </w:r>
          </w:p>
        </w:tc>
      </w:tr>
    </w:tbl>
    <w:tbl>
      <w:tblPr>
        <w:tblW w:type="pct" w:w="100%"/>
        <w:tblBorders>
          <w:top w:val="single" w:color="999999" w:sz="8"/>
          <w:left w:val="single" w:color="999999" w:sz="8"/>
          <w:bottom w:val="single" w:color="999999" w:sz="8"/>
          <w:right w:val="single" w:color="999999" w:sz="8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</w:tcPr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/>
                <w:bCs/>
                <w:color w:val="1B5E20"/>
                <w:sz w:val="24"/>
                <w:szCs w:val="24"/>
              </w:rPr>
              <w:t xml:space="preserve">文案、数据来源及参考文献：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[1] 国家林业和草原局. 第九次全国森林资源清查成果（2024）.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[2] 国家统计局. 中国第一次全国湿地资源调查（1995-2003）汇总数据.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[3] 自然资源部. 中国省域行政区划与面积基础地理数据.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[4] 联合国环境规划署（UNEP）.《全球湿地展望：湿地与水》（2021）. 内部视觉风格参考.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[5] Apache ECharts 5 可视化库官方文档：https://echarts.apache.org/zh/index.html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[6] 国务院新闻办公室.《中国的生物多样性保护》白皮书（2021）.</w:t>
            </w:r>
          </w:p>
        </w:tc>
      </w:tr>
    </w:tbl>
    <w:tbl>
      <w:tblPr>
        <w:tblW w:type="pct" w:w="100%"/>
        <w:tblBorders>
          <w:top w:val="single" w:color="1B5E20" w:sz="12"/>
          <w:left w:val="single" w:color="1B5E20" w:sz="12"/>
          <w:bottom w:val="single" w:color="1B5E20" w:sz="12"/>
          <w:right w:val="single" w:color="1B5E20" w:sz="12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shd w:fill="2E7D32"/>
          </w:tcPr>
          <w:p>
            <w:pPr>
              <w:spacing w:after="60" w:before="60" w:line="320"/>
              <w:jc w:val="center"/>
            </w:pPr>
            <w:r>
              <w:rPr>
                <w:rFonts w:ascii="宋体" w:eastAsia="宋体" w:hAnsi="宋体"/>
                <w:b/>
                <w:bCs/>
                <w:color w:val="FFFFFF"/>
                <w:sz w:val="28"/>
                <w:szCs w:val="28"/>
              </w:rPr>
              <w:t xml:space="preserve">九、作品访问地址及效果展示</w:t>
            </w:r>
          </w:p>
        </w:tc>
      </w:tr>
    </w:tbl>
    <w:tbl>
      <w:tblPr>
        <w:tblW w:type="pct" w:w="100%"/>
        <w:tblBorders>
          <w:top w:val="single" w:color="999999" w:sz="8"/>
          <w:left w:val="single" w:color="999999" w:sz="8"/>
          <w:bottom w:val="single" w:color="999999" w:sz="8"/>
          <w:right w:val="single" w:color="999999" w:sz="8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</w:tcPr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/>
                <w:bCs/>
                <w:color w:val="1B5E20"/>
                <w:sz w:val="24"/>
                <w:szCs w:val="24"/>
              </w:rPr>
              <w:t xml:space="preserve">（一）作品访问地址：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网页版链接：https://604ad7e966da45e7b9927bbd5de18977.app.codebuddy.work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本地路径：C:\Users\Night\WorkBuddy\2026-06-10-21-09-39\china-forest-wetland.html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/>
                <w:bCs/>
                <w:color w:val="1B5E20"/>
                <w:sz w:val="24"/>
                <w:szCs w:val="24"/>
              </w:rPr>
              <w:t xml:space="preserve">（二）作品效果展示（多角度、全方位展示作品）：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① 顶部 Hero 区：渐变绿色 + 蓝色背景，左上角标题「中国森林、湿地覆盖率各省对比」，副标题「从东南绿岭到西北大漠——中国生态资源的空间分布格局」；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② Tab 1 总览：4 张数据卡片（全国森林覆盖率 25.00%、湿地覆盖率 4.01%、福建 66.80% 森林最高、上海 50.70% 湿地最高）+ 七大区域森林/湿地均值雷达图 + 七大区域森林/湿地覆盖率进度条；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③ Tab 2 排名对比：双轴柱状图（绿柱森林 + 蓝柱湿地），下方滑块可缩放；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④ Tab 3 省市检索：散点图（横轴森林覆盖率 × 纵轴湿地覆盖率，气泡大小=土地面积，颜色=七大分区），支持 brush 框选 + 搜索框 + 区域筛选 + 按字段排序的速查表；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⑤ Tab 4 双省对比：两个下拉框选择任意两省，雷达图 + 柱状图 + 自动生成对比小结文字。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⑥ 底部：数据来源、计算公式、更新时间三段署名信息。</w:t>
            </w:r>
          </w:p>
        </w:tc>
      </w:tr>
    </w:tbl>
    <w:p>
      <w:pPr>
        <w:spacing w:before="400"/>
      </w:pPr>
      <w:r>
        <w:t xml:space="preserve"/>
      </w:r>
    </w:p>
    <w:tbl>
      <w:tblPr>
        <w:tblW w:type="pct" w:w="100%"/>
        <w:tblBorders>
          <w:top w:val="single" w:color="1B5E20" w:sz="12"/>
          <w:left w:val="single" w:color="1B5E20" w:sz="12"/>
          <w:bottom w:val="single" w:color="1B5E20" w:sz="12"/>
          <w:right w:val="single" w:color="1B5E20" w:sz="12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</w:tcPr>
          <w:p>
            <w:pPr>
              <w:spacing w:after="60" w:before="60" w:line="320"/>
              <w:jc w:val="center"/>
            </w:pPr>
            <w:r>
              <w:rPr>
                <w:rFonts w:ascii="宋体" w:eastAsia="宋体" w:hAnsi="宋体"/>
                <w:b/>
                <w:bCs/>
                <w:color w:val="1B5E20"/>
                <w:sz w:val="26"/>
                <w:szCs w:val="26"/>
              </w:rPr>
              <w:t xml:space="preserve">西北民族大学  新闻传播学院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中国森林、湿地覆盖率各省对比 - 作品说明书</dc:title>
  <dc:creator>2024级新闻学3班第9组</dc:creator>
  <dc:description>数据新闻理论与实践 期末作品</dc:description>
  <cp:lastModifiedBy>Un-named</cp:lastModifiedBy>
  <cp:revision>1</cp:revision>
  <dcterms:created xsi:type="dcterms:W3CDTF">2026-06-16T08:35:12.696Z</dcterms:created>
  <dcterms:modified xsi:type="dcterms:W3CDTF">2026-06-16T08:35:12.704Z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