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A93A2D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002948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TABLE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8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_Toc110029489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6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6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8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49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==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_Toc110029499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15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16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0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_Toc110029509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19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20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1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_Toc110029519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1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_Toc110029521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2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_Toc110029522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3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_Toc110029523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23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4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_Toc110029524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24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5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_Toc110029525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6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_Toc110029526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27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7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_Toc110029527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29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8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_Toc110029528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31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29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_Toc110029529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A93A2D" w:rsidRDefault="006A4C3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0029530" w:history="1"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="00A93A2D" w:rsidRPr="00B23084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 w:rsidR="00A93A2D">
              <w:rPr>
                <w:noProof/>
                <w:webHidden/>
              </w:rPr>
              <w:tab/>
            </w:r>
            <w:r w:rsidR="00A93A2D">
              <w:rPr>
                <w:noProof/>
                <w:webHidden/>
              </w:rPr>
              <w:fldChar w:fldCharType="begin"/>
            </w:r>
            <w:r w:rsidR="00A93A2D">
              <w:rPr>
                <w:noProof/>
                <w:webHidden/>
              </w:rPr>
              <w:instrText xml:space="preserve"> PAGEREF _Toc110029530 \h </w:instrText>
            </w:r>
            <w:r w:rsidR="00A93A2D">
              <w:rPr>
                <w:noProof/>
                <w:webHidden/>
              </w:rPr>
            </w:r>
            <w:r w:rsidR="00A93A2D">
              <w:rPr>
                <w:noProof/>
                <w:webHidden/>
              </w:rPr>
              <w:fldChar w:fldCharType="separate"/>
            </w:r>
            <w:r w:rsidR="00A93A2D">
              <w:rPr>
                <w:noProof/>
                <w:webHidden/>
              </w:rPr>
              <w:t>32</w:t>
            </w:r>
            <w:r w:rsidR="00A93A2D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0029480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4D45EB" w:rsidTr="005A0907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F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Poetry</w:t>
            </w: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B67E83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FFFF0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5E7DDC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FF000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AE5B32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000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1" w:name="_Toc110029481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1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" w:name="_Toc110029482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2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" w:name="_Toc110029483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3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110029484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4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5" w:name="_Toc110029485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5"/>
    </w:p>
    <w:p w:rsidR="00D8607D" w:rsidRPr="0004457D" w:rsidRDefault="006A4C31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110029486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6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0029487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7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0029488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8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0029489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9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0029490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0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1" w:name="_Toc110029491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1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2" w:name="_Toc110029492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2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110029493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3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0029494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4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4D3BC8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r w:rsidR="00A1590F" w:rsidRPr="004D3BC8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4D3BC8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4D3BC8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4D3BC8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4D3BC8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4D3BC8">
        <w:rPr>
          <w:rFonts w:ascii="Consolas" w:hAnsi="Consolas" w:cs="Times New Roman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0029495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5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0029496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6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4D3BC8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4D3BC8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4D3BC8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4D3BC8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110029497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7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2A1956" w:rsidRPr="005F4B21" w:rsidRDefault="006A4C31" w:rsidP="005F4B21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color w:val="auto"/>
          <w:sz w:val="24"/>
          <w:u w:val="none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Pr="00CF39D8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8" w:name="_Toc110029498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bookmarkEnd w:id="18"/>
    </w:p>
    <w:p w:rsidR="00AB4227" w:rsidRDefault="006A4C31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0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0029499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==</w:t>
      </w:r>
      <w:bookmarkEnd w:id="19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lastRenderedPageBreak/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110029500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0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1" w:name="_Toc110029501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1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DF59C9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4D3BC8">
        <w:rPr>
          <w:rFonts w:ascii="Consolas" w:hAnsi="Consolas" w:cs="Times New Roman"/>
          <w:lang w:val="en-US"/>
        </w:rPr>
        <w:t xml:space="preserve"> copy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>l = [[1], [2]]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 xml:space="preserve"> = 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100 </w:t>
      </w:r>
      <w:proofErr w:type="spellStart"/>
      <w:r w:rsidRPr="004D3BC8">
        <w:rPr>
          <w:rFonts w:ascii="Consolas" w:hAnsi="Consolas" w:cs="Times New Roman"/>
          <w:lang w:val="en-US"/>
        </w:rPr>
        <w:t>добавится</w:t>
      </w:r>
      <w:proofErr w:type="spellEnd"/>
      <w:r w:rsidRPr="004D3BC8">
        <w:rPr>
          <w:rFonts w:ascii="Consolas" w:hAnsi="Consolas" w:cs="Times New Roman"/>
          <w:lang w:val="en-US"/>
        </w:rPr>
        <w:t xml:space="preserve"> в </w:t>
      </w:r>
      <w:proofErr w:type="spellStart"/>
      <w:r w:rsidRPr="004D3BC8">
        <w:rPr>
          <w:rFonts w:ascii="Consolas" w:hAnsi="Consolas" w:cs="Times New Roman"/>
          <w:lang w:val="en-US"/>
        </w:rPr>
        <w:t>оба</w:t>
      </w:r>
      <w:proofErr w:type="spell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списка</w:t>
      </w:r>
      <w:proofErr w:type="spellEnd"/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4D3BC8">
        <w:rPr>
          <w:rFonts w:ascii="Consolas" w:hAnsi="Consolas" w:cs="Times New Roman"/>
          <w:lang w:val="en-US"/>
        </w:rPr>
        <w:t xml:space="preserve">l: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2" w:name="_Toc110029502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2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110029503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3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lastRenderedPageBreak/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0029504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4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0029505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t>Магические атрибуты и методы</w:t>
      </w:r>
      <w:bookmarkEnd w:id="25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0029506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6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0029507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7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B4554" w:rsidRPr="00D94854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Как работает</w:t>
      </w:r>
      <w:r w:rsidR="00C82B54" w:rsidRPr="00C82B54">
        <w:rPr>
          <w:rFonts w:ascii="Times New Roman" w:hAnsi="Times New Roman" w:cs="Times New Roman"/>
          <w:sz w:val="28"/>
        </w:rPr>
        <w:t xml:space="preserve"> </w:t>
      </w:r>
      <w:r w:rsidR="00C82B54" w:rsidRPr="00C82B54">
        <w:rPr>
          <w:rFonts w:ascii="Times New Roman" w:hAnsi="Times New Roman" w:cs="Times New Roman"/>
          <w:i/>
          <w:sz w:val="28"/>
          <w:lang w:val="en-US"/>
        </w:rPr>
        <w:t>MRO</w:t>
      </w:r>
      <w:r w:rsidR="00C82B54"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8" w:name="_Toc110029508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8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 xml:space="preserve">, и может изменять только состояние полей, относящихся к классу (полей, объявленных вне инициализатора </w:t>
      </w:r>
      <w:r>
        <w:rPr>
          <w:rFonts w:ascii="Times New Roman" w:hAnsi="Times New Roman" w:cs="Times New Roman"/>
          <w:sz w:val="28"/>
        </w:rPr>
        <w:lastRenderedPageBreak/>
        <w:t>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9" w:name="_Toc110029509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29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0029510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0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lastRenderedPageBreak/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1" w:name="_Toc110029511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1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2" w:name="_Toc110029512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2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3" w:name="_Toc110029513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3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0029514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4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Pr="00735549" w:rsidRDefault="00735549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7944C6" w:rsidRDefault="007944C6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735549" w:rsidRPr="00735549" w:rsidRDefault="00735549">
      <w:pPr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5" w:name="_Toc110029515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Django</w:t>
      </w:r>
      <w:bookmarkEnd w:id="35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6" w:name="_Toc110029516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6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0029517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lastRenderedPageBreak/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8" w:name="_Toc110029518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8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9" w:name="_Toc110029519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39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lastRenderedPageBreak/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0" w:name="_Toc110029520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0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1" w:name="_Toc110029521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1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0029522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2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3" w:name="_Toc110029523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Индексы</w:t>
      </w:r>
      <w:bookmarkEnd w:id="43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</w:t>
            </w:r>
            <w:r w:rsidRPr="00D40065">
              <w:rPr>
                <w:rFonts w:ascii="Times New Roman" w:hAnsi="Times New Roman" w:cs="Times New Roman"/>
                <w:sz w:val="24"/>
              </w:rPr>
              <w:lastRenderedPageBreak/>
              <w:t xml:space="preserve">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4" w:name="_Toc110029524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4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lastRenderedPageBreak/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lastRenderedPageBreak/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lastRenderedPageBreak/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5" w:name="_Toc110029525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5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</w:t>
      </w:r>
      <w:proofErr w:type="spellEnd"/>
      <w:r w:rsidRPr="000933E0">
        <w:rPr>
          <w:rFonts w:ascii="Times New Roman" w:hAnsi="Times New Roman" w:cs="Times New Roman"/>
          <w:b/>
          <w:sz w:val="28"/>
        </w:rPr>
        <w:t>, 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bookmarkStart w:id="46" w:name="_GoBack"/>
      <w:bookmarkEnd w:id="46"/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0029526"/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7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lastRenderedPageBreak/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0029527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8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lastRenderedPageBreak/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0029528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9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360376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0" w:name="_Toc110029529"/>
      <w:r w:rsidRPr="00360376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REST</w:t>
      </w:r>
      <w:bookmarkEnd w:id="50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0029530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Для идемпотентности нужно рассматривать только изменение фактического внутреннего состояния сервера, а возвращаемые запросами </w:t>
      </w:r>
      <w:r w:rsidRPr="00106C3E">
        <w:rPr>
          <w:rFonts w:ascii="Times New Roman" w:hAnsi="Times New Roman" w:cs="Times New Roman"/>
          <w:sz w:val="28"/>
        </w:rPr>
        <w:lastRenderedPageBreak/>
        <w:t>коды статуса могут отличаться: первый вызов </w:t>
      </w:r>
      <w:hyperlink r:id="rId17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8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19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>
        <w:rPr>
          <w:rFonts w:ascii="Consolas" w:hAnsi="Consolas" w:cs="Times New Roman"/>
          <w:lang w:val="en-US"/>
        </w:rPr>
        <w:t xml:space="preserve"> Cook: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make_dinner</w:t>
      </w:r>
      <w:proofErr w:type="spellEnd"/>
      <w:r w:rsidRPr="009207E4">
        <w:rPr>
          <w:rFonts w:ascii="Consolas" w:hAnsi="Consolas" w:cs="Times New Roman"/>
          <w:lang w:val="en-US"/>
        </w:rPr>
        <w:t>(self, meal):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meal.make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gramEnd"/>
      <w:r w:rsidRPr="009207E4">
        <w:rPr>
          <w:rFonts w:ascii="Consolas" w:hAnsi="Consolas" w:cs="Times New Roman"/>
          <w:lang w:val="en-US"/>
        </w:rPr>
        <w:t>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pass</w:t>
      </w:r>
      <w:proofErr w:type="gramEnd"/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PotatoMeal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IMeal</w:t>
      </w:r>
      <w:proofErr w:type="spellEnd"/>
      <w:r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  <w:proofErr w:type="gramStart"/>
      <w:r w:rsidRPr="009207E4">
        <w:rPr>
          <w:rFonts w:ascii="Consolas" w:hAnsi="Consolas" w:cs="Times New Roman"/>
          <w:lang w:val="en-US"/>
        </w:rPr>
        <w:t>pri</w:t>
      </w:r>
      <w:r w:rsidR="00526397">
        <w:rPr>
          <w:rFonts w:ascii="Consolas" w:hAnsi="Consolas" w:cs="Times New Roman"/>
          <w:lang w:val="en-US"/>
        </w:rPr>
        <w:t>nt(</w:t>
      </w:r>
      <w:proofErr w:type="gramEnd"/>
      <w:r w:rsidR="00526397">
        <w:rPr>
          <w:rFonts w:ascii="Consolas" w:hAnsi="Consolas" w:cs="Times New Roman"/>
          <w:lang w:val="en-US"/>
        </w:rPr>
        <w:t>"</w:t>
      </w:r>
      <w:proofErr w:type="spellStart"/>
      <w:r w:rsidR="00526397">
        <w:rPr>
          <w:rFonts w:ascii="Consolas" w:hAnsi="Consolas" w:cs="Times New Roman"/>
          <w:lang w:val="en-US"/>
        </w:rPr>
        <w:t>Картофельное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пюре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готово</w:t>
      </w:r>
      <w:proofErr w:type="spellEnd"/>
      <w:r w:rsidR="00526397">
        <w:rPr>
          <w:rFonts w:ascii="Consolas" w:hAnsi="Consolas" w:cs="Times New Roman"/>
          <w:lang w:val="en-US"/>
        </w:rPr>
        <w:t>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"</w:t>
      </w:r>
      <w:proofErr w:type="spellStart"/>
      <w:r>
        <w:rPr>
          <w:rFonts w:ascii="Consolas" w:hAnsi="Consolas" w:cs="Times New Roman"/>
          <w:lang w:val="en-US"/>
        </w:rPr>
        <w:t>Салат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готов</w:t>
      </w:r>
      <w:proofErr w:type="spellEnd"/>
      <w:r>
        <w:rPr>
          <w:rFonts w:ascii="Consolas" w:hAnsi="Consolas" w:cs="Times New Roman"/>
          <w:lang w:val="en-US"/>
        </w:rPr>
        <w:t>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cook</w:t>
      </w:r>
      <w:proofErr w:type="gramEnd"/>
      <w:r w:rsidRPr="009207E4">
        <w:rPr>
          <w:rFonts w:ascii="Consolas" w:hAnsi="Consolas" w:cs="Times New Roman"/>
          <w:lang w:val="en-US"/>
        </w:rPr>
        <w:t xml:space="preserve">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PotatoMeal</w:t>
      </w:r>
      <w:proofErr w:type="spellEnd"/>
      <w:r w:rsidRPr="009207E4">
        <w:rPr>
          <w:rFonts w:ascii="Consolas" w:hAnsi="Consolas" w:cs="Times New Roman"/>
          <w:lang w:val="en-US"/>
        </w:rPr>
        <w:t>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 xml:space="preserve">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P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sectPr w:rsidR="00936596" w:rsidRPr="00936596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BD2" w:rsidRDefault="00043BD2" w:rsidP="00347726">
      <w:pPr>
        <w:spacing w:after="0" w:line="240" w:lineRule="auto"/>
      </w:pPr>
      <w:r>
        <w:separator/>
      </w:r>
    </w:p>
  </w:endnote>
  <w:endnote w:type="continuationSeparator" w:id="0">
    <w:p w:rsidR="00043BD2" w:rsidRDefault="00043BD2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Content>
      <w:p w:rsidR="006A4C31" w:rsidRDefault="006A4C3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0E58">
          <w:rPr>
            <w:noProof/>
          </w:rPr>
          <w:t>28</w:t>
        </w:r>
        <w:r>
          <w:fldChar w:fldCharType="end"/>
        </w:r>
      </w:p>
    </w:sdtContent>
  </w:sdt>
  <w:p w:rsidR="006A4C31" w:rsidRDefault="006A4C3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BD2" w:rsidRDefault="00043BD2" w:rsidP="00347726">
      <w:pPr>
        <w:spacing w:after="0" w:line="240" w:lineRule="auto"/>
      </w:pPr>
      <w:r>
        <w:separator/>
      </w:r>
    </w:p>
  </w:footnote>
  <w:footnote w:type="continuationSeparator" w:id="0">
    <w:p w:rsidR="00043BD2" w:rsidRDefault="00043BD2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2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2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3"/>
  </w:num>
  <w:num w:numId="19">
    <w:abstractNumId w:val="3"/>
  </w:num>
  <w:num w:numId="20">
    <w:abstractNumId w:val="20"/>
  </w:num>
  <w:num w:numId="21">
    <w:abstractNumId w:val="28"/>
  </w:num>
  <w:num w:numId="22">
    <w:abstractNumId w:val="31"/>
  </w:num>
  <w:num w:numId="23">
    <w:abstractNumId w:val="13"/>
  </w:num>
  <w:num w:numId="24">
    <w:abstractNumId w:val="22"/>
  </w:num>
  <w:num w:numId="25">
    <w:abstractNumId w:val="7"/>
  </w:num>
  <w:num w:numId="26">
    <w:abstractNumId w:val="29"/>
  </w:num>
  <w:num w:numId="27">
    <w:abstractNumId w:val="16"/>
  </w:num>
  <w:num w:numId="28">
    <w:abstractNumId w:val="2"/>
  </w:num>
  <w:num w:numId="29">
    <w:abstractNumId w:val="19"/>
  </w:num>
  <w:num w:numId="30">
    <w:abstractNumId w:val="25"/>
  </w:num>
  <w:num w:numId="31">
    <w:abstractNumId w:val="10"/>
  </w:num>
  <w:num w:numId="32">
    <w:abstractNumId w:val="8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3BD2"/>
    <w:rsid w:val="0004457D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63D8"/>
    <w:rsid w:val="00136697"/>
    <w:rsid w:val="00137CB7"/>
    <w:rsid w:val="00142D6E"/>
    <w:rsid w:val="00145615"/>
    <w:rsid w:val="00150DF8"/>
    <w:rsid w:val="0017627B"/>
    <w:rsid w:val="00176EB6"/>
    <w:rsid w:val="0018111E"/>
    <w:rsid w:val="00182C5D"/>
    <w:rsid w:val="00185722"/>
    <w:rsid w:val="001936A7"/>
    <w:rsid w:val="001A5F78"/>
    <w:rsid w:val="001A66F5"/>
    <w:rsid w:val="001B6930"/>
    <w:rsid w:val="001E0F9D"/>
    <w:rsid w:val="001E13EC"/>
    <w:rsid w:val="001E2044"/>
    <w:rsid w:val="001E6917"/>
    <w:rsid w:val="001E74ED"/>
    <w:rsid w:val="00227AEC"/>
    <w:rsid w:val="00230B9F"/>
    <w:rsid w:val="0023110A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834"/>
    <w:rsid w:val="00490AE0"/>
    <w:rsid w:val="0049179E"/>
    <w:rsid w:val="004A6E32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D15F0"/>
    <w:rsid w:val="005D47D7"/>
    <w:rsid w:val="005D7B08"/>
    <w:rsid w:val="005E23F8"/>
    <w:rsid w:val="005E7DDC"/>
    <w:rsid w:val="005F4B21"/>
    <w:rsid w:val="00604AA0"/>
    <w:rsid w:val="006108A4"/>
    <w:rsid w:val="00617308"/>
    <w:rsid w:val="00624FCC"/>
    <w:rsid w:val="00642309"/>
    <w:rsid w:val="00665F86"/>
    <w:rsid w:val="00671752"/>
    <w:rsid w:val="006A4C31"/>
    <w:rsid w:val="006C5019"/>
    <w:rsid w:val="006C50FE"/>
    <w:rsid w:val="006D3E2B"/>
    <w:rsid w:val="006D77DD"/>
    <w:rsid w:val="006E2800"/>
    <w:rsid w:val="006E29E9"/>
    <w:rsid w:val="007313E6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7D22B2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7F4A"/>
    <w:rsid w:val="009619A6"/>
    <w:rsid w:val="00963CCA"/>
    <w:rsid w:val="00966408"/>
    <w:rsid w:val="00973570"/>
    <w:rsid w:val="00974852"/>
    <w:rsid w:val="009912D4"/>
    <w:rsid w:val="009A17CC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93A2D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D6ACE"/>
    <w:rsid w:val="00CE1E05"/>
    <w:rsid w:val="00CE4FE0"/>
    <w:rsid w:val="00CF39D8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26922"/>
    <w:rsid w:val="00E33793"/>
    <w:rsid w:val="00E404D9"/>
    <w:rsid w:val="00E611E3"/>
    <w:rsid w:val="00E652EF"/>
    <w:rsid w:val="00E80136"/>
    <w:rsid w:val="00E833F4"/>
    <w:rsid w:val="00E86B4A"/>
    <w:rsid w:val="00E92246"/>
    <w:rsid w:val="00E945AD"/>
    <w:rsid w:val="00E94F0D"/>
    <w:rsid w:val="00EB4554"/>
    <w:rsid w:val="00EC66A8"/>
    <w:rsid w:val="00ED4326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HEAD" TargetMode="External"/><Relationship Id="rId18" Type="http://schemas.openxmlformats.org/officeDocument/2006/relationships/hyperlink" Target="https://developer.mozilla.org/ru/docs/Web/HTTP/Status/20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GET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OS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tproger.ru/translations/global-interpreter-lock-guide/" TargetMode="External"/><Relationship Id="rId19" Type="http://schemas.openxmlformats.org/officeDocument/2006/relationships/hyperlink" Target="https://developer.mozilla.org/ru/docs/Web/HTTP/Status/4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PU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4A5FC-A149-44B1-8F69-84A5244EF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2104</TotalTime>
  <Pages>34</Pages>
  <Words>6157</Words>
  <Characters>35099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234</cp:revision>
  <dcterms:created xsi:type="dcterms:W3CDTF">2022-03-07T15:59:00Z</dcterms:created>
  <dcterms:modified xsi:type="dcterms:W3CDTF">2022-08-03T17:39:00Z</dcterms:modified>
</cp:coreProperties>
</file>