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5F4B21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70972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_Toc100870972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2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3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_Toc100870973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4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_Toc100870974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5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_Toc100870975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6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_Toc100870976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7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_Toc100870977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8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_Toc100870978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9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_Toc100870979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4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0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_Toc100870980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4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1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_Toc100870981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5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2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_Toc100870982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5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3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_Toc100870983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6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4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_Toc100870984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7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5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_Toc100870985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8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6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_Toc100870986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8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7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_Toc100870987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9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8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_Toc100870988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9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9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_Toc100870989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9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0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_Toc100870990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10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1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_Toc100870991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10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2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_Toc100870992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10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3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_Toc100870993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11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4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_Toc100870994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11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5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_Toc100870995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12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6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_Toc100870996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12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7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_Toc100870997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8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_Toc100870998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9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_Toc100870999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0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_Toc100871000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13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1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_Toc100871001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15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2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_Toc100871002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19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3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_Toc100871003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19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4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_Toc100871004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21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797BE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5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_Toc100871005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21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lastRenderedPageBreak/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87097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Tr="00C27EB0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514B" w:rsidTr="00C27EB0">
        <w:tc>
          <w:tcPr>
            <w:tcW w:w="2336" w:type="dxa"/>
            <w:shd w:val="clear" w:color="auto" w:fill="auto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4D18D3">
        <w:tc>
          <w:tcPr>
            <w:tcW w:w="2336" w:type="dxa"/>
            <w:shd w:val="clear" w:color="auto" w:fill="auto"/>
          </w:tcPr>
          <w:p w:rsidR="00C6514B" w:rsidRPr="00C27EB0" w:rsidRDefault="00C27EB0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C27EB0" w:rsidRDefault="00C27EB0" w:rsidP="00C27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bookmarkStart w:id="1" w:name="_GoBack"/>
            <w:bookmarkEnd w:id="1"/>
          </w:p>
        </w:tc>
        <w:tc>
          <w:tcPr>
            <w:tcW w:w="2337" w:type="dxa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0870973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87097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870975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87097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797BED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87097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87097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87097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087098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00870981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87098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87098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870984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870985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870986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797BED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870988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797BED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870989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lastRenderedPageBreak/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87099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870991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9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0" w:name="_Toc100870992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0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lastRenderedPageBreak/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1" w:name="_Toc100870993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1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0870994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2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870995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3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Default="00BB7B13" w:rsidP="00BB7B1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08709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4"/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Pr="00BB7B13" w:rsidRDefault="005F4B21" w:rsidP="00BB7B13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5" w:name="_Toc100870997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5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87099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6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08709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8" w:name="_Toc10087100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087100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2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>
        <w:rPr>
          <w:rFonts w:ascii="Times New Roman" w:hAnsi="Times New Roman" w:cs="Times New Roman"/>
          <w:sz w:val="28"/>
        </w:rPr>
        <w:t xml:space="preserve"> – привнесение избыточности (будет описано далее)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0" w:name="_Toc10087100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0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087100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1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BB7B13" w:rsidRPr="009A3DC9" w:rsidRDefault="00BB7B13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2" w:name="_Toc100871004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32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0087100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3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7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8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19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ED" w:rsidRDefault="00797BED" w:rsidP="00347726">
      <w:pPr>
        <w:spacing w:after="0" w:line="240" w:lineRule="auto"/>
      </w:pPr>
      <w:r>
        <w:separator/>
      </w:r>
    </w:p>
  </w:endnote>
  <w:endnote w:type="continuationSeparator" w:id="0">
    <w:p w:rsidR="00797BED" w:rsidRDefault="00797BED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9A3DC9" w:rsidRDefault="009A3DC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EB0">
          <w:rPr>
            <w:noProof/>
          </w:rPr>
          <w:t>21</w:t>
        </w:r>
        <w:r>
          <w:fldChar w:fldCharType="end"/>
        </w:r>
      </w:p>
    </w:sdtContent>
  </w:sdt>
  <w:p w:rsidR="009A3DC9" w:rsidRDefault="009A3D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ED" w:rsidRDefault="00797BED" w:rsidP="00347726">
      <w:pPr>
        <w:spacing w:after="0" w:line="240" w:lineRule="auto"/>
      </w:pPr>
      <w:r>
        <w:separator/>
      </w:r>
    </w:p>
  </w:footnote>
  <w:footnote w:type="continuationSeparator" w:id="0">
    <w:p w:rsidR="00797BED" w:rsidRDefault="00797BED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0"/>
  </w:num>
  <w:num w:numId="5">
    <w:abstractNumId w:val="13"/>
  </w:num>
  <w:num w:numId="6">
    <w:abstractNumId w:val="5"/>
  </w:num>
  <w:num w:numId="7">
    <w:abstractNumId w:val="4"/>
  </w:num>
  <w:num w:numId="8">
    <w:abstractNumId w:val="9"/>
  </w:num>
  <w:num w:numId="9">
    <w:abstractNumId w:val="17"/>
  </w:num>
  <w:num w:numId="10">
    <w:abstractNumId w:val="3"/>
  </w:num>
  <w:num w:numId="11">
    <w:abstractNumId w:val="6"/>
  </w:num>
  <w:num w:numId="12">
    <w:abstractNumId w:val="2"/>
  </w:num>
  <w:num w:numId="13">
    <w:abstractNumId w:val="7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21"/>
  </w:num>
  <w:num w:numId="19">
    <w:abstractNumId w:val="1"/>
  </w:num>
  <w:num w:numId="20">
    <w:abstractNumId w:val="1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A7E45"/>
    <w:rsid w:val="000B24D7"/>
    <w:rsid w:val="000D4612"/>
    <w:rsid w:val="000F1DFE"/>
    <w:rsid w:val="00106C3E"/>
    <w:rsid w:val="0011089A"/>
    <w:rsid w:val="00114B74"/>
    <w:rsid w:val="001363D8"/>
    <w:rsid w:val="00136697"/>
    <w:rsid w:val="00137CB7"/>
    <w:rsid w:val="00142D6E"/>
    <w:rsid w:val="0017627B"/>
    <w:rsid w:val="00185722"/>
    <w:rsid w:val="001936A7"/>
    <w:rsid w:val="001A66F5"/>
    <w:rsid w:val="00227AEC"/>
    <w:rsid w:val="0023110A"/>
    <w:rsid w:val="00243459"/>
    <w:rsid w:val="00246C87"/>
    <w:rsid w:val="002517FE"/>
    <w:rsid w:val="00260196"/>
    <w:rsid w:val="00264196"/>
    <w:rsid w:val="002714D5"/>
    <w:rsid w:val="002A11A5"/>
    <w:rsid w:val="002A1956"/>
    <w:rsid w:val="002D4FDC"/>
    <w:rsid w:val="00336D22"/>
    <w:rsid w:val="00347513"/>
    <w:rsid w:val="00347726"/>
    <w:rsid w:val="00352F01"/>
    <w:rsid w:val="00373948"/>
    <w:rsid w:val="00382ED2"/>
    <w:rsid w:val="003C224D"/>
    <w:rsid w:val="003F5A1C"/>
    <w:rsid w:val="00401339"/>
    <w:rsid w:val="00455088"/>
    <w:rsid w:val="00464A3A"/>
    <w:rsid w:val="00490AE0"/>
    <w:rsid w:val="004D18D3"/>
    <w:rsid w:val="004D2389"/>
    <w:rsid w:val="00510CAA"/>
    <w:rsid w:val="0051329A"/>
    <w:rsid w:val="00530D3B"/>
    <w:rsid w:val="00545820"/>
    <w:rsid w:val="005463CB"/>
    <w:rsid w:val="00553A83"/>
    <w:rsid w:val="00553FDD"/>
    <w:rsid w:val="005723EC"/>
    <w:rsid w:val="005D15F0"/>
    <w:rsid w:val="005F4B21"/>
    <w:rsid w:val="00624FCC"/>
    <w:rsid w:val="00665F86"/>
    <w:rsid w:val="006E2800"/>
    <w:rsid w:val="0073140E"/>
    <w:rsid w:val="007667E7"/>
    <w:rsid w:val="00775533"/>
    <w:rsid w:val="00797BED"/>
    <w:rsid w:val="007B09D9"/>
    <w:rsid w:val="007C51E1"/>
    <w:rsid w:val="00841096"/>
    <w:rsid w:val="00846EFF"/>
    <w:rsid w:val="008715FB"/>
    <w:rsid w:val="00890221"/>
    <w:rsid w:val="008B5B6F"/>
    <w:rsid w:val="008B7273"/>
    <w:rsid w:val="008E26FD"/>
    <w:rsid w:val="0090513D"/>
    <w:rsid w:val="00925E84"/>
    <w:rsid w:val="00947F4A"/>
    <w:rsid w:val="00973570"/>
    <w:rsid w:val="00974852"/>
    <w:rsid w:val="009912D4"/>
    <w:rsid w:val="009A3DC9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B7B13"/>
    <w:rsid w:val="00BC168B"/>
    <w:rsid w:val="00BC3861"/>
    <w:rsid w:val="00C06931"/>
    <w:rsid w:val="00C10B7E"/>
    <w:rsid w:val="00C2675B"/>
    <w:rsid w:val="00C27EB0"/>
    <w:rsid w:val="00C578DB"/>
    <w:rsid w:val="00C6514B"/>
    <w:rsid w:val="00C7052F"/>
    <w:rsid w:val="00C91D6E"/>
    <w:rsid w:val="00CA2F25"/>
    <w:rsid w:val="00CB4B8F"/>
    <w:rsid w:val="00CE4FE0"/>
    <w:rsid w:val="00D119A5"/>
    <w:rsid w:val="00D1238D"/>
    <w:rsid w:val="00D40065"/>
    <w:rsid w:val="00D43AC2"/>
    <w:rsid w:val="00D43CA4"/>
    <w:rsid w:val="00D4504F"/>
    <w:rsid w:val="00D722B7"/>
    <w:rsid w:val="00D8607D"/>
    <w:rsid w:val="00DA0E33"/>
    <w:rsid w:val="00DB63F7"/>
    <w:rsid w:val="00DE4CBC"/>
    <w:rsid w:val="00DF59C9"/>
    <w:rsid w:val="00E02F21"/>
    <w:rsid w:val="00E33793"/>
    <w:rsid w:val="00E611E3"/>
    <w:rsid w:val="00E652EF"/>
    <w:rsid w:val="00E833F4"/>
    <w:rsid w:val="00E86B4A"/>
    <w:rsid w:val="00E945AD"/>
    <w:rsid w:val="00E94F0D"/>
    <w:rsid w:val="00EC66A8"/>
    <w:rsid w:val="00ED4326"/>
    <w:rsid w:val="00F218D8"/>
    <w:rsid w:val="00F7426E"/>
    <w:rsid w:val="00F946FA"/>
    <w:rsid w:val="00FA3031"/>
    <w:rsid w:val="00FA4F3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HEAD" TargetMode="External"/><Relationship Id="rId18" Type="http://schemas.openxmlformats.org/officeDocument/2006/relationships/hyperlink" Target="https://developer.mozilla.org/ru/docs/Web/HTTP/Status/2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GET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O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P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26F47-7672-4CE4-AE0C-5089866E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3755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95</cp:revision>
  <dcterms:created xsi:type="dcterms:W3CDTF">2022-03-07T15:59:00Z</dcterms:created>
  <dcterms:modified xsi:type="dcterms:W3CDTF">2022-04-18T17:35:00Z</dcterms:modified>
</cp:coreProperties>
</file>