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81" w:rsidRPr="007543F1" w:rsidRDefault="007543F1" w:rsidP="007543F1">
      <w:pPr>
        <w:jc w:val="center"/>
        <w:rPr>
          <w:b/>
          <w:sz w:val="28"/>
          <w:u w:val="single"/>
        </w:rPr>
      </w:pPr>
      <w:r w:rsidRPr="007543F1">
        <w:rPr>
          <w:b/>
          <w:sz w:val="28"/>
          <w:u w:val="single"/>
        </w:rPr>
        <w:t>WINDOWS DOMAIN CONTROLLER</w:t>
      </w:r>
    </w:p>
    <w:p w:rsidR="007543F1" w:rsidRDefault="007543F1">
      <w:r>
        <w:t>Limit physical access</w:t>
      </w:r>
    </w:p>
    <w:p w:rsidR="007543F1" w:rsidRDefault="007543F1">
      <w:r>
        <w:t>Encrypt the disks on which the domain controller runs on</w:t>
      </w:r>
    </w:p>
    <w:p w:rsidR="007543F1" w:rsidRDefault="007543F1" w:rsidP="00825368">
      <w:pPr>
        <w:rPr>
          <w:rFonts w:ascii="Courier New" w:hAnsi="Courier New" w:cs="Courier New"/>
          <w:color w:val="666666"/>
          <w:sz w:val="27"/>
          <w:szCs w:val="27"/>
          <w:shd w:val="clear" w:color="auto" w:fill="FFFFFF"/>
        </w:rPr>
      </w:pPr>
      <w:r>
        <w:t xml:space="preserve">Secure the Directory </w:t>
      </w:r>
      <w:r w:rsidR="00825368">
        <w:t>Services Restore Mode password</w:t>
      </w:r>
    </w:p>
    <w:p w:rsidR="006764F3" w:rsidRDefault="006764F3"/>
    <w:p w:rsidR="006764F3" w:rsidRDefault="006764F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85"/>
        <w:gridCol w:w="3990"/>
      </w:tblGrid>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rPr>
                <w:b/>
                <w:bCs/>
              </w:rPr>
              <w:t>What</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rPr>
                <w:b/>
                <w:bCs/>
              </w:rPr>
              <w:t>Why</w:t>
            </w:r>
          </w:p>
        </w:tc>
      </w:tr>
      <w:tr w:rsidR="006764F3" w:rsidRPr="006764F3" w:rsidTr="006764F3">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1. User Configuration</w:t>
            </w:r>
          </w:p>
        </w:tc>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Protect your credentials.</w:t>
            </w:r>
          </w:p>
        </w:tc>
      </w:tr>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2. Network Configuration</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Establish communications.</w:t>
            </w:r>
          </w:p>
        </w:tc>
      </w:tr>
      <w:tr w:rsidR="006764F3" w:rsidRPr="006764F3" w:rsidTr="006764F3">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3. Features and Roles Configuration</w:t>
            </w:r>
          </w:p>
        </w:tc>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Add what you need, remove what you don't.</w:t>
            </w:r>
          </w:p>
        </w:tc>
      </w:tr>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4. Update Installation</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Patch vulnerabilities.</w:t>
            </w:r>
          </w:p>
        </w:tc>
      </w:tr>
      <w:tr w:rsidR="006764F3" w:rsidRPr="006764F3" w:rsidTr="006764F3">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5. NTP Configuration</w:t>
            </w:r>
          </w:p>
        </w:tc>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Prevent clock drift.</w:t>
            </w:r>
          </w:p>
        </w:tc>
      </w:tr>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6. Firewall Configuration</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Minimize your external footprint.</w:t>
            </w:r>
          </w:p>
        </w:tc>
      </w:tr>
      <w:tr w:rsidR="006764F3" w:rsidRPr="006764F3" w:rsidTr="006764F3">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7. Remote Access Configuration</w:t>
            </w:r>
          </w:p>
        </w:tc>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Harden remote administration sessions.</w:t>
            </w:r>
          </w:p>
        </w:tc>
      </w:tr>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8. Service Configuration</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Minimize your attack surface.</w:t>
            </w:r>
          </w:p>
        </w:tc>
      </w:tr>
      <w:tr w:rsidR="006764F3" w:rsidRPr="006764F3" w:rsidTr="006764F3">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9. Further Hardening</w:t>
            </w:r>
          </w:p>
        </w:tc>
        <w:tc>
          <w:tcPr>
            <w:tcW w:w="0" w:type="auto"/>
            <w:shd w:val="clear" w:color="auto" w:fill="EEEEEE"/>
            <w:tcMar>
              <w:top w:w="0" w:type="dxa"/>
              <w:left w:w="0" w:type="dxa"/>
              <w:bottom w:w="0" w:type="dxa"/>
              <w:right w:w="0" w:type="dxa"/>
            </w:tcMar>
            <w:vAlign w:val="center"/>
            <w:hideMark/>
          </w:tcPr>
          <w:p w:rsidR="006764F3" w:rsidRPr="006764F3" w:rsidRDefault="006764F3" w:rsidP="006764F3">
            <w:r w:rsidRPr="006764F3">
              <w:t>Protect the OS and other applications.</w:t>
            </w:r>
          </w:p>
        </w:tc>
      </w:tr>
      <w:tr w:rsidR="006764F3" w:rsidRPr="006764F3" w:rsidTr="006764F3">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10. Logging and Monitoring</w:t>
            </w:r>
          </w:p>
        </w:tc>
        <w:tc>
          <w:tcPr>
            <w:tcW w:w="0" w:type="auto"/>
            <w:shd w:val="clear" w:color="auto" w:fill="FFFFFF"/>
            <w:tcMar>
              <w:top w:w="0" w:type="dxa"/>
              <w:left w:w="0" w:type="dxa"/>
              <w:bottom w:w="0" w:type="dxa"/>
              <w:right w:w="0" w:type="dxa"/>
            </w:tcMar>
            <w:vAlign w:val="center"/>
            <w:hideMark/>
          </w:tcPr>
          <w:p w:rsidR="006764F3" w:rsidRPr="006764F3" w:rsidRDefault="006764F3" w:rsidP="006764F3">
            <w:r w:rsidRPr="006764F3">
              <w:t>Know what's happening on your system.</w:t>
            </w:r>
          </w:p>
        </w:tc>
      </w:tr>
    </w:tbl>
    <w:p w:rsidR="006764F3" w:rsidRDefault="006764F3"/>
    <w:p w:rsidR="007543F1" w:rsidRDefault="00825368">
      <w:bookmarkStart w:id="0" w:name="_GoBack"/>
      <w:bookmarkEnd w:id="0"/>
      <w:r>
        <w:br w:type="page"/>
      </w:r>
    </w:p>
    <w:p w:rsidR="00825368" w:rsidRDefault="00825368"/>
    <w:p w:rsidR="00825368" w:rsidRPr="00825368" w:rsidRDefault="00825368">
      <w:pPr>
        <w:rPr>
          <w:b/>
        </w:rPr>
      </w:pPr>
      <w:r w:rsidRPr="00825368">
        <w:rPr>
          <w:b/>
        </w:rPr>
        <w:t>Secure the Directory Services Restore Mode password</w:t>
      </w:r>
    </w:p>
    <w:p w:rsidR="00825368" w:rsidRDefault="00825368" w:rsidP="00825368">
      <w:r w:rsidRPr="007543F1">
        <w:t>Directory Services Restore Mode (DSRM) is a special mode for fixing Active Directory offline when something’s gone wrong. The DSRM password is a special back door that provides administrative access to the directory. You use this in an offline, text mode state. Protect this password like it’s the one thing that can sink your forest, because it is just that. </w:t>
      </w:r>
    </w:p>
    <w:p w:rsidR="00825368" w:rsidRPr="00825368" w:rsidRDefault="00825368" w:rsidP="00825368">
      <w:pPr>
        <w:rPr>
          <w:rFonts w:ascii="Courier New" w:hAnsi="Courier New" w:cs="Courier New"/>
          <w:b/>
          <w:color w:val="666666"/>
          <w:sz w:val="28"/>
          <w:szCs w:val="27"/>
          <w:shd w:val="clear" w:color="auto" w:fill="FFFFFF"/>
        </w:rPr>
      </w:pPr>
      <w:proofErr w:type="spellStart"/>
      <w:proofErr w:type="gramStart"/>
      <w:r w:rsidRPr="00825368">
        <w:rPr>
          <w:rFonts w:ascii="Courier New" w:hAnsi="Courier New" w:cs="Courier New"/>
          <w:b/>
          <w:color w:val="666666"/>
          <w:sz w:val="28"/>
          <w:szCs w:val="27"/>
          <w:shd w:val="clear" w:color="auto" w:fill="FFFFFF"/>
        </w:rPr>
        <w:t>ntdsutil</w:t>
      </w:r>
      <w:proofErr w:type="spellEnd"/>
      <w:proofErr w:type="gramEnd"/>
      <w:r w:rsidRPr="00825368">
        <w:rPr>
          <w:rFonts w:ascii="Courier New" w:hAnsi="Courier New" w:cs="Courier New"/>
          <w:b/>
          <w:color w:val="666666"/>
          <w:sz w:val="28"/>
          <w:szCs w:val="27"/>
          <w:shd w:val="clear" w:color="auto" w:fill="FFFFFF"/>
        </w:rPr>
        <w:t xml:space="preserve"> "set </w:t>
      </w:r>
      <w:proofErr w:type="spellStart"/>
      <w:r w:rsidRPr="00825368">
        <w:rPr>
          <w:rFonts w:ascii="Courier New" w:hAnsi="Courier New" w:cs="Courier New"/>
          <w:b/>
          <w:color w:val="666666"/>
          <w:sz w:val="28"/>
          <w:szCs w:val="27"/>
          <w:shd w:val="clear" w:color="auto" w:fill="FFFFFF"/>
        </w:rPr>
        <w:t>dsrm</w:t>
      </w:r>
      <w:proofErr w:type="spellEnd"/>
      <w:r w:rsidRPr="00825368">
        <w:rPr>
          <w:rFonts w:ascii="Courier New" w:hAnsi="Courier New" w:cs="Courier New"/>
          <w:b/>
          <w:color w:val="666666"/>
          <w:sz w:val="28"/>
          <w:szCs w:val="27"/>
          <w:shd w:val="clear" w:color="auto" w:fill="FFFFFF"/>
        </w:rPr>
        <w:t xml:space="preserve"> password" "sync from domain account</w:t>
      </w:r>
      <w:r w:rsidRPr="00825368">
        <w:rPr>
          <w:rFonts w:ascii="Courier New" w:hAnsi="Courier New" w:cs="Courier New"/>
          <w:b/>
          <w:color w:val="666666"/>
          <w:sz w:val="28"/>
          <w:szCs w:val="27"/>
        </w:rPr>
        <w:br/>
      </w:r>
      <w:r w:rsidRPr="00825368">
        <w:rPr>
          <w:rFonts w:ascii="Courier New" w:hAnsi="Courier New" w:cs="Courier New"/>
          <w:b/>
          <w:color w:val="666666"/>
          <w:sz w:val="28"/>
          <w:szCs w:val="27"/>
          <w:shd w:val="clear" w:color="auto" w:fill="FFFFFF"/>
        </w:rPr>
        <w:t>&lt;</w:t>
      </w:r>
      <w:proofErr w:type="spellStart"/>
      <w:r w:rsidRPr="00825368">
        <w:rPr>
          <w:rFonts w:ascii="Courier New" w:hAnsi="Courier New" w:cs="Courier New"/>
          <w:b/>
          <w:color w:val="666666"/>
          <w:sz w:val="28"/>
          <w:szCs w:val="27"/>
          <w:shd w:val="clear" w:color="auto" w:fill="FFFFFF"/>
        </w:rPr>
        <w:t>DomainAdminAccount</w:t>
      </w:r>
      <w:proofErr w:type="spellEnd"/>
      <w:r w:rsidRPr="00825368">
        <w:rPr>
          <w:rFonts w:ascii="Courier New" w:hAnsi="Courier New" w:cs="Courier New"/>
          <w:b/>
          <w:color w:val="666666"/>
          <w:sz w:val="28"/>
          <w:szCs w:val="27"/>
          <w:shd w:val="clear" w:color="auto" w:fill="FFFFFF"/>
        </w:rPr>
        <w:t xml:space="preserve">&gt;" q </w:t>
      </w:r>
      <w:proofErr w:type="spellStart"/>
      <w:r w:rsidRPr="00825368">
        <w:rPr>
          <w:rFonts w:ascii="Courier New" w:hAnsi="Courier New" w:cs="Courier New"/>
          <w:b/>
          <w:color w:val="666666"/>
          <w:sz w:val="28"/>
          <w:szCs w:val="27"/>
          <w:shd w:val="clear" w:color="auto" w:fill="FFFFFF"/>
        </w:rPr>
        <w:t>q</w:t>
      </w:r>
      <w:proofErr w:type="spellEnd"/>
    </w:p>
    <w:p w:rsidR="00825368" w:rsidRDefault="00825368"/>
    <w:p w:rsidR="00825368" w:rsidRDefault="00825368">
      <w:r>
        <w:br w:type="page"/>
      </w:r>
    </w:p>
    <w:p w:rsidR="00825368" w:rsidRPr="00A14694" w:rsidRDefault="00825368" w:rsidP="00825368">
      <w:pPr>
        <w:rPr>
          <w:b/>
          <w:sz w:val="24"/>
          <w:u w:val="single"/>
        </w:rPr>
      </w:pPr>
      <w:r w:rsidRPr="00A14694">
        <w:rPr>
          <w:b/>
          <w:sz w:val="24"/>
          <w:u w:val="single"/>
        </w:rPr>
        <w:lastRenderedPageBreak/>
        <w:t>References:</w:t>
      </w:r>
    </w:p>
    <w:p w:rsidR="00825368" w:rsidRDefault="00825368" w:rsidP="00825368">
      <w:hyperlink r:id="rId4" w:history="1">
        <w:r w:rsidRPr="00CE4140">
          <w:rPr>
            <w:rStyle w:val="Hyperlink"/>
          </w:rPr>
          <w:t>https://technet.microsoft.com/en-us/library/cc755321(WS.10).aspx</w:t>
        </w:r>
      </w:hyperlink>
    </w:p>
    <w:p w:rsidR="00825368" w:rsidRDefault="00825368" w:rsidP="00825368">
      <w:hyperlink r:id="rId5" w:history="1">
        <w:r w:rsidRPr="00CE4140">
          <w:rPr>
            <w:rStyle w:val="Hyperlink"/>
          </w:rPr>
          <w:t>https://docs.microsoft.com/en-us/windows-server/identity/ad-ds/plan/security-best-practices/securing-domain-controllers-against-attack</w:t>
        </w:r>
      </w:hyperlink>
    </w:p>
    <w:p w:rsidR="00825368" w:rsidRDefault="00825368" w:rsidP="00825368">
      <w:hyperlink r:id="rId6" w:history="1">
        <w:r w:rsidRPr="00CE4140">
          <w:rPr>
            <w:rStyle w:val="Hyperlink"/>
          </w:rPr>
          <w:t>https://adsecurity.org/?p=3377</w:t>
        </w:r>
      </w:hyperlink>
    </w:p>
    <w:p w:rsidR="007543F1" w:rsidRDefault="00825368">
      <w:hyperlink r:id="rId7" w:history="1">
        <w:r w:rsidRPr="00CE4140">
          <w:rPr>
            <w:rStyle w:val="Hyperlink"/>
          </w:rPr>
          <w:t>https://blogs.technet.microsoft.com/askpfeplat/2012/09/26/what-can-be-used-to-keep-active-directory-data-secure/</w:t>
        </w:r>
      </w:hyperlink>
    </w:p>
    <w:p w:rsidR="00825368" w:rsidRDefault="00825368">
      <w:hyperlink r:id="rId8" w:history="1">
        <w:r w:rsidRPr="00CE4140">
          <w:rPr>
            <w:rStyle w:val="Hyperlink"/>
          </w:rPr>
          <w:t>https://www.concurrency.com/blog/w/enable-bitlocker,-automatically-save-keys-to-activ</w:t>
        </w:r>
      </w:hyperlink>
    </w:p>
    <w:p w:rsidR="00825368" w:rsidRDefault="00825368">
      <w:hyperlink r:id="rId9" w:history="1">
        <w:r w:rsidRPr="00CE4140">
          <w:rPr>
            <w:rStyle w:val="Hyperlink"/>
          </w:rPr>
          <w:t>https://www.upguard.com/blog/the-windows-server-hardening-checklist</w:t>
        </w:r>
      </w:hyperlink>
    </w:p>
    <w:p w:rsidR="00825368" w:rsidRDefault="006764F3">
      <w:hyperlink r:id="rId10" w:history="1">
        <w:r w:rsidRPr="00CE4140">
          <w:rPr>
            <w:rStyle w:val="Hyperlink"/>
          </w:rPr>
          <w:t>http://www.itprotoday.com/management-mobility/5-steps-secured-active-directory</w:t>
        </w:r>
      </w:hyperlink>
    </w:p>
    <w:p w:rsidR="006764F3" w:rsidRDefault="006764F3"/>
    <w:sectPr w:rsidR="0067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F1"/>
    <w:rsid w:val="006764F3"/>
    <w:rsid w:val="007543F1"/>
    <w:rsid w:val="00825368"/>
    <w:rsid w:val="00EF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5F38"/>
  <w15:chartTrackingRefBased/>
  <w15:docId w15:val="{13B22B90-1827-490A-9929-D9A417B0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830298">
      <w:bodyDiv w:val="1"/>
      <w:marLeft w:val="0"/>
      <w:marRight w:val="0"/>
      <w:marTop w:val="0"/>
      <w:marBottom w:val="0"/>
      <w:divBdr>
        <w:top w:val="none" w:sz="0" w:space="0" w:color="auto"/>
        <w:left w:val="none" w:sz="0" w:space="0" w:color="auto"/>
        <w:bottom w:val="none" w:sz="0" w:space="0" w:color="auto"/>
        <w:right w:val="none" w:sz="0" w:space="0" w:color="auto"/>
      </w:divBdr>
    </w:div>
    <w:div w:id="69896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urrency.com/blog/w/enable-bitlocker,-automatically-save-keys-to-activ" TargetMode="External"/><Relationship Id="rId3" Type="http://schemas.openxmlformats.org/officeDocument/2006/relationships/webSettings" Target="webSettings.xml"/><Relationship Id="rId7" Type="http://schemas.openxmlformats.org/officeDocument/2006/relationships/hyperlink" Target="https://blogs.technet.microsoft.com/askpfeplat/2012/09/26/what-can-be-used-to-keep-active-directory-data-secu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security.org/?p=3377" TargetMode="External"/><Relationship Id="rId11" Type="http://schemas.openxmlformats.org/officeDocument/2006/relationships/fontTable" Target="fontTable.xml"/><Relationship Id="rId5" Type="http://schemas.openxmlformats.org/officeDocument/2006/relationships/hyperlink" Target="https://docs.microsoft.com/en-us/windows-server/identity/ad-ds/plan/security-best-practices/securing-domain-controllers-against-attack" TargetMode="External"/><Relationship Id="rId10" Type="http://schemas.openxmlformats.org/officeDocument/2006/relationships/hyperlink" Target="http://www.itprotoday.com/management-mobility/5-steps-secured-active-directory" TargetMode="External"/><Relationship Id="rId4" Type="http://schemas.openxmlformats.org/officeDocument/2006/relationships/hyperlink" Target="https://technet.microsoft.com/en-us/library/cc755321(WS.10).aspx" TargetMode="External"/><Relationship Id="rId9" Type="http://schemas.openxmlformats.org/officeDocument/2006/relationships/hyperlink" Target="https://www.upguard.com/blog/the-windows-server-hardening-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Carlyle Group</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Gadri.cw</dc:creator>
  <cp:keywords/>
  <dc:description/>
  <cp:lastModifiedBy>Naftali Gadri.cw</cp:lastModifiedBy>
  <cp:revision>1</cp:revision>
  <dcterms:created xsi:type="dcterms:W3CDTF">2018-02-08T13:40:00Z</dcterms:created>
  <dcterms:modified xsi:type="dcterms:W3CDTF">2018-02-08T14:10:00Z</dcterms:modified>
</cp:coreProperties>
</file>