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pPr>
      <w:r>
        <w:rPr>
          <w:rFonts w:ascii="Aptos Display" w:hAnsi="Aptos Display"/>
          <w:b/>
          <w:color w:val="1D9A9A"/>
          <w:sz w:val="26"/>
        </w:rPr>
        <w:t>AURA WEBSITE</w:t>
      </w:r>
    </w:p>
    <w:p>
      <w:pPr>
        <w:pStyle w:val="Title"/>
        <w:spacing w:before="180"/>
      </w:pPr>
      <w:r>
        <w:t>Project History, Backend Changes &amp; Future Scope</w:t>
      </w:r>
    </w:p>
    <w:p>
      <w:pPr>
        <w:spacing w:before="200"/>
      </w:pPr>
      <w:r>
        <w:rPr>
          <w:color w:val="5B6B78"/>
          <w:sz w:val="24"/>
        </w:rPr>
        <w:t>A consolidated record of the requirements, work completed, implementation decisions, setup status, and recommended next steps.</w:t>
      </w:r>
    </w:p>
    <w:tbl>
      <w:tblPr>
        <w:tblW w:type="auto" w:w="0"/>
        <w:jc w:val="left"/>
        <w:tblLook w:firstColumn="1" w:firstRow="1" w:lastColumn="0" w:lastRow="0" w:noHBand="0" w:noVBand="1" w:val="04A0"/>
      </w:tblPr>
      <w:tblGrid>
        <w:gridCol w:w="9936"/>
      </w:tblGrid>
      <w:tr>
        <w:tc>
          <w:tcPr>
            <w:tcW w:type="dxa" w:w="9936"/>
            <w:shd w:fill="10283F"/>
            <w:vAlign w:val="center"/>
          </w:tcPr>
          <w:p>
            <w:pPr>
              <w:spacing w:after="20"/>
            </w:pPr>
            <w:r/>
            <w:r>
              <w:rPr>
                <w:rFonts w:ascii="Aptos" w:hAnsi="Aptos"/>
                <w:b/>
                <w:color w:val="FFFFFF"/>
                <w:sz w:val="18"/>
              </w:rPr>
              <w:t>Prepared: 17 October 2026     |     Project: AURA / GTBIT Technical Society     |     Status: Backend implementation complete; local service startup pending verification</w:t>
            </w:r>
          </w:p>
        </w:tc>
      </w:tr>
    </w:tbl>
    <w:p/>
    <w:p>
      <w:r>
        <w:t>Purpose: provide a chronological account of the website redesign and interaction work that preceded the backend phase, the later backend requirements and implementation, why key decisions were made, what has been verified, and what remains for future work.</w:t>
      </w:r>
    </w:p>
    <w:p>
      <w:r>
        <w:br w:type="page"/>
      </w:r>
    </w:p>
    <w:p>
      <w:pPr>
        <w:pStyle w:val="Heading1"/>
      </w:pPr>
      <w:r>
        <w:t>Earlier work: website design and interaction (before the backend phase)</w:t>
      </w:r>
    </w:p>
    <w:p>
      <w:pPr/>
      <w:r>
        <w:t>The following milestones record the earlier website work in chronological order. They explain the requested change, the implementation direction, and why it was made; the backend work follows in the numbered sections below.</w:t>
      </w:r>
    </w:p>
    <w:p>
      <w:pPr>
        <w:pStyle w:val="Heading2"/>
      </w:pPr>
      <w:r>
        <w:t>Phase A - Aligning the site with the reference website</w:t>
      </w:r>
    </w:p>
    <w:p>
      <w:pPr>
        <w:pStyle w:val="ListBullet"/>
      </w:pPr>
      <w:r>
        <w:t>Reviewed the existing AURA site and the supplied nexus-aura-space reference, then refreshed the homepage, typography, color system, shared navigation, footer, and overall visual language. Kept the AURA routes and existing member/admin surfaces rather than replacing the application structure.</w:t>
      </w:r>
    </w:p>
    <w:p>
      <w:pPr>
        <w:pStyle w:val="ListBullet"/>
      </w:pPr>
      <w:r>
        <w:t>Why: bring the site closer to the requested reference while preserving its AURA-specific pages and existing functionality.</w:t>
      </w:r>
    </w:p>
    <w:p>
      <w:pPr>
        <w:pStyle w:val="Heading2"/>
      </w:pPr>
      <w:r>
        <w:t>Phase B - Adding shared motion and hover feedback</w:t>
      </w:r>
    </w:p>
    <w:p>
      <w:pPr>
        <w:pStyle w:val="ListBullet"/>
      </w:pPr>
      <w:r>
        <w:t>Added subtle route/text entrance transitions, CSS scroll-reveal motion, and restrained hover scaling/lift for text, links, buttons, and cards. The page transitions support the request for the home and other routes to feel fluid when visitors navigate between them.</w:t>
      </w:r>
    </w:p>
    <w:p>
      <w:pPr>
        <w:pStyle w:val="ListBullet"/>
      </w:pPr>
      <w:r>
        <w:t>Why: make navigation and interaction feel responsive without changing the content hierarchy or introducing large, distracting animations. Reduced-motion preferences are respected.</w:t>
      </w:r>
    </w:p>
    <w:p>
      <w:pPr>
        <w:pStyle w:val="Heading2"/>
      </w:pPr>
      <w:r>
        <w:t>Phase C - Building the ambient background and glass-card interaction</w:t>
      </w:r>
    </w:p>
    <w:p>
      <w:pPr>
        <w:pStyle w:val="ListBullet"/>
      </w:pPr>
      <w:r>
        <w:t>Added a canvas particle field that gently responds to pointer movement and settles back toward its resting positions. Nearby particles glow a subtle orange. Card hover styling uses the pointer position for a local highlight, with a translucent/glass treatment, border and glow emphasis, and a slight lift.</w:t>
      </w:r>
    </w:p>
    <w:p>
      <w:pPr>
        <w:pStyle w:val="ListBullet"/>
      </w:pPr>
      <w:r>
        <w:t>Why: give the site a consistent interactive layer across pages while keeping the particle drawing separate from React-rendered page content. Background animation pauses when the page is hidden and is reduced for users who request reduced motion.</w:t>
      </w:r>
    </w:p>
    <w:p>
      <w:pPr>
        <w:pStyle w:val="Heading2"/>
      </w:pPr>
      <w:r>
        <w:t>Phase D - Providing a Windows launch shortcut</w:t>
      </w:r>
    </w:p>
    <w:p>
      <w:pPr>
        <w:pStyle w:val="ListBullet"/>
      </w:pPr>
      <w:r>
        <w:t>Added launch-website.bat to start the local Next.js development server, wait for localhost:3000 to respond, and then open the site in a browser.</w:t>
      </w:r>
    </w:p>
    <w:p>
      <w:pPr>
        <w:pStyle w:val="ListBullet"/>
      </w:pPr>
      <w:r>
        <w:t>Why: make local preview easier to launch for a Windows user without manually opening a terminal and browser in separate steps.</w:t>
      </w:r>
    </w:p>
    <w:p>
      <w:pPr>
        <w:pStyle w:val="Heading2"/>
      </w:pPr>
      <w:r>
        <w:t>Phase E - Resolving the hydration warning</w:t>
      </w:r>
    </w:p>
    <w:p>
      <w:pPr>
        <w:pStyle w:val="ListBullet"/>
      </w:pPr>
      <w:r>
        <w:t>A browser report showed server/client markup differences for data-reveal and interactive data attributes. The earlier effect/observer approach decorated React-owned page nodes after rendering, which could race hydration. Removed the broad DOM scanning/mutation; scroll reveals now use CSS view-timeline where supported, and card state/coordinates are applied only after pointer interaction.</w:t>
      </w:r>
    </w:p>
    <w:p>
      <w:pPr>
        <w:pStyle w:val="ListBullet"/>
      </w:pPr>
      <w:r>
        <w:t>Why: keep initial server-rendered markup deterministic so React can hydrate it without unexpected-attribute warnings, while retaining the intended motion and hover behavior.</w:t>
      </w:r>
    </w:p>
    <w:p>
      <w:pPr>
        <w:pStyle w:val="Heading2"/>
      </w:pPr>
      <w:r>
        <w:t>Phase F - Making the card glass and cursor glow visibly activate</w:t>
      </w:r>
    </w:p>
    <w:p>
      <w:pPr>
        <w:pStyle w:val="ListBullet"/>
      </w:pPr>
      <w:r>
        <w:t>A follow-up check found that the pointer handler set data-pointer-active, but the visual CSS also required data-interactive-card. The handler now sets the required marker when a card is actually hovered. The active treatment was strengthened with a clearer translucent background, blur/saturation, orange pointer hotspot, border glow, shadow, and small lift.</w:t>
      </w:r>
    </w:p>
    <w:p>
      <w:pPr>
        <w:pStyle w:val="ListBullet"/>
      </w:pPr>
      <w:r>
        <w:t>Why: fix the mismatch between the interaction handler and its CSS selector so the requested glass effect and cursor-following highlight are visible rather than silently inactive.</w:t>
      </w:r>
    </w:p>
    <w:p>
      <w:pPr>
        <w:pStyle w:val="Heading2"/>
      </w:pPr>
      <w:r>
        <w:t>Phase G - Verifying the earlier front-end work</w:t>
      </w:r>
    </w:p>
    <w:p>
      <w:pPr>
        <w:pStyle w:val="ListBullet"/>
      </w:pPr>
      <w:r>
        <w:t>Lint and the production build passed after the interaction and hydration changes. A fresh production preview was checked in a browser: no console or hydration errors were reported, and hovering a card activated its marker, pointer-positioned highlight, blur, warm border/glow, and lift.</w:t>
      </w:r>
    </w:p>
    <w:p>
      <w:pPr>
        <w:pStyle w:val="ListBullet"/>
      </w:pPr>
      <w:r>
        <w:t>The scroll reveal uses CSS animation-timeline: view() inside an @supports rule. Browsers without support keep the route/text entrance treatment but may not show the per-section scroll reveal.</w:t>
      </w:r>
    </w:p>
    <w:p>
      <w:pPr>
        <w:pStyle w:val="Heading1"/>
        <w:keepNext/>
      </w:pPr>
      <w:r>
        <w:t>1. Executive summary</w:t>
      </w:r>
    </w:p>
    <w:p>
      <w:r>
        <w:t>The work started by adapting the existing AURA website to the linked nexus-aura-space reference, while preserving the project?s routes and existing member/admin areas. The front-end phase then added shared visual styling, page and text entrance motion, scroll reveals, glass-like cards with cursor-following glow, a cursor-reactive particle background, and a Windows launcher. The earlier phase-by-phase history and the reason for each change appear before this backend summary.</w:t>
      </w:r>
    </w:p>
    <w:p>
      <w:r>
        <w:t>Building on that front-end foundation, later requirements added administrator-managed content, approval-gated member accounts, role-protected dashboards, and public pages that read saved content. The initial persistence prototype moved from browser-only state to SQLite/local uploads, then the active runtime backend was upgraded to PostgreSQL plus private S3-compatible object storage for a self-hostable architecture. A data importer is provided for existing SQLite data.</w:t>
      </w:r>
    </w:p>
    <w:p>
      <w:r>
        <w:t>The backend code, local deployment configuration, migration tooling, and setup/backup documentation are in place. Lint and production build checks passed. Docker was not available in the implementation environment, so actually starting PostgreSQL and MinIO, creating an admin, running the migration, and testing a live upload against those services remains a user-side setup/verification step.</w:t>
      </w:r>
    </w:p>
    <w:p>
      <w:pPr>
        <w:pStyle w:val="Heading1"/>
        <w:keepNext/>
      </w:pPr>
      <w:r>
        <w:t>2. Goals and requirements</w:t>
      </w:r>
    </w:p>
    <w:p>
      <w:pPr>
        <w:pStyle w:val="ListBullet"/>
        <w:spacing w:after="40"/>
      </w:pPr>
      <w:r>
        <w:t>Give an administrator a website UI to manage content, rather than requiring changes in code for routine updates.</w:t>
      </w:r>
    </w:p>
    <w:p>
      <w:pPr>
        <w:pStyle w:val="ListBullet"/>
        <w:spacing w:after="40"/>
      </w:pPr>
      <w:r>
        <w:t>Manage gallery photos and categories, including existing categories such as Orientation, DSA War Room, Marathon, and additional categories as new material appears.</w:t>
      </w:r>
    </w:p>
    <w:p>
      <w:pPr>
        <w:pStyle w:val="ListBullet"/>
        <w:spacing w:after="40"/>
      </w:pPr>
      <w:r>
        <w:t>Add new AURATHON editions while retaining older editions as an archive; update event details, histories, winners, and imagery through the content tools.</w:t>
      </w:r>
    </w:p>
    <w:p>
      <w:pPr>
        <w:pStyle w:val="ListBullet"/>
        <w:spacing w:after="40"/>
      </w:pPr>
      <w:r>
        <w:t>Create and update events, departments, AURA/about copy, and leadership profile details and images.</w:t>
      </w:r>
    </w:p>
    <w:p>
      <w:pPr>
        <w:pStyle w:val="ListBullet"/>
        <w:spacing w:after="40"/>
      </w:pPr>
      <w:r>
        <w:t>Allow members to register with a username and password; keep new accounts pending until an administrator approves them.</w:t>
      </w:r>
    </w:p>
    <w:p>
      <w:pPr>
        <w:pStyle w:val="ListBullet"/>
        <w:spacing w:after="40"/>
      </w:pPr>
      <w:r>
        <w:t>Keep accounts, uploaded images, and content between server restarts, and make saved content visible on public pages.</w:t>
      </w:r>
    </w:p>
    <w:p>
      <w:pPr>
        <w:pStyle w:val="ListBullet"/>
        <w:spacing w:after="40"/>
      </w:pPr>
      <w:r>
        <w:t>Use a backend that can evolve from local development into a self-hosted deployment without tying data to one browser or an ephemeral application filesystem.</w:t>
      </w:r>
    </w:p>
    <w:p>
      <w:pPr>
        <w:pStyle w:val="Heading1"/>
        <w:keepNext/>
      </w:pPr>
      <w:r>
        <w:t>3. What has been implemented</w:t>
      </w:r>
    </w:p>
    <w:p>
      <w:pPr>
        <w:pStyle w:val="Heading2"/>
        <w:keepNext/>
      </w:pPr>
      <w:r>
        <w:t>3.1 Admin content management</w:t>
      </w:r>
    </w:p>
    <w:p>
      <w:pPr>
        <w:pStyle w:val="ListBullet"/>
        <w:spacing w:after="40"/>
      </w:pPr>
      <w:r>
        <w:t>An admin dashboard provides member-approval controls and an editor for public-facing website content.</w:t>
      </w:r>
    </w:p>
    <w:p>
      <w:pPr>
        <w:pStyle w:val="ListBullet"/>
        <w:spacing w:after="40"/>
      </w:pPr>
      <w:r>
        <w:t>The editor manages gallery category names and media entries; event records; department records; AURATHON editions; team/leadership records; and the AURA/about content fields supported by the current CMS model.</w:t>
      </w:r>
    </w:p>
    <w:p>
      <w:pPr>
        <w:pStyle w:val="ListBullet"/>
        <w:spacing w:after="40"/>
      </w:pPr>
      <w:r>
        <w:t>Admins select local image files for upload. The API validates file size and checks image signatures for PNG, JPEG, WebP, and GIF before storage; the limit is 10 MB.</w:t>
      </w:r>
    </w:p>
    <w:p>
      <w:pPr>
        <w:pStyle w:val="ListBullet"/>
        <w:spacing w:after="40"/>
      </w:pPr>
      <w:r>
        <w:t>The public home, events, departments, AURATHON, team, about, and gallery surfaces consume saved CMS content. The CMS hook refreshes content periodically (approximately every five seconds) so saved updates are reflected without editing application code.</w:t>
      </w:r>
    </w:p>
    <w:p>
      <w:pPr>
        <w:pStyle w:val="ListBullet"/>
        <w:spacing w:after="40"/>
      </w:pPr>
      <w:r>
        <w:t>A new edition can be added while earlier edition records remain in the content collection. Visual prominence/ordering is controlled by the site content and display logic; the report does not claim a separate automated archival scheduler.</w:t>
      </w:r>
    </w:p>
    <w:p>
      <w:pPr>
        <w:pStyle w:val="Heading2"/>
        <w:keepNext/>
      </w:pPr>
      <w:r>
        <w:t>3.2 Accounts and access control</w:t>
      </w:r>
    </w:p>
    <w:p>
      <w:pPr>
        <w:pStyle w:val="ListBullet"/>
        <w:spacing w:after="40"/>
      </w:pPr>
      <w:r>
        <w:t>The login interface supports member/admin sign-in and member registration.</w:t>
      </w:r>
    </w:p>
    <w:p>
      <w:pPr>
        <w:pStyle w:val="ListBullet"/>
        <w:spacing w:after="40"/>
      </w:pPr>
      <w:r>
        <w:t>The first administrator is created interactively with npm run admin:create. There is no hard-coded default username or password; the command refuses to add an admin if one already exists.</w:t>
      </w:r>
    </w:p>
    <w:p>
      <w:pPr>
        <w:pStyle w:val="ListBullet"/>
        <w:spacing w:after="40"/>
      </w:pPr>
      <w:r>
        <w:t>Member registrations are stored with pending status. Admins can approve or reject pending applications; pending and rejected accounts cannot sign in.</w:t>
      </w:r>
    </w:p>
    <w:p>
      <w:pPr>
        <w:pStyle w:val="ListBullet"/>
        <w:spacing w:after="40"/>
      </w:pPr>
      <w:r>
        <w:t>Passwords are stored as salted scrypt hashes, not plaintext. Sessions use random tokens; only token hashes are stored in PostgreSQL. The browser cookie is HTTP-only, SameSite=Strict, and marked Secure in production; session lifetime is seven days.</w:t>
      </w:r>
    </w:p>
    <w:p>
      <w:pPr>
        <w:pStyle w:val="ListBullet"/>
        <w:spacing w:after="40"/>
      </w:pPr>
      <w:r>
        <w:t>Admin and member dashboard routes check the authenticated user role on the server. The member dashboard remains an intentionally limited placeholder; department-specific tools were explicitly deferred.</w:t>
      </w:r>
    </w:p>
    <w:p>
      <w:pPr>
        <w:pStyle w:val="ListBullet"/>
        <w:spacing w:after="40"/>
      </w:pPr>
      <w:r>
        <w:t>Mutation routes apply same-origin checks, role checks, and input/content validation. Errors for invalid requests are returned explicitly.</w:t>
      </w:r>
    </w:p>
    <w:p>
      <w:pPr>
        <w:pStyle w:val="Heading2"/>
        <w:keepNext/>
      </w:pPr>
      <w:r>
        <w:t>3.3 Persistence and uploads</w:t>
      </w:r>
    </w:p>
    <w:p>
      <w:pPr>
        <w:pStyle w:val="ListBullet"/>
        <w:spacing w:after="40"/>
      </w:pPr>
      <w:r>
        <w:t>PostgreSQL stores user accounts, approval state, session records, media metadata, and JSONB site content.</w:t>
      </w:r>
    </w:p>
    <w:p>
      <w:pPr>
        <w:pStyle w:val="ListBullet"/>
        <w:spacing w:after="40"/>
      </w:pPr>
      <w:r>
        <w:t>S3-compatible object storage stores the original uploaded image bytes in a private bucket. The web application serves an image through /api/media/&lt;id&gt;, using the database metadata to resolve the storage key.</w:t>
      </w:r>
    </w:p>
    <w:p>
      <w:pPr>
        <w:pStyle w:val="ListBullet"/>
        <w:spacing w:after="40"/>
      </w:pPr>
      <w:r>
        <w:t>The application initializes its required database tables and seeds default website content if no content record exists.</w:t>
      </w:r>
    </w:p>
    <w:p>
      <w:pPr>
        <w:pStyle w:val="ListBullet"/>
        <w:spacing w:after="40"/>
      </w:pPr>
      <w:r>
        <w:t>Docker Compose defines local PostgreSQL and MinIO services with persistent volumes. Their ports bind to loopback in the supplied configuration; the bucket is private by default.</w:t>
      </w:r>
    </w:p>
    <w:p>
      <w:pPr>
        <w:pStyle w:val="ListBullet"/>
        <w:spacing w:after="40"/>
      </w:pPr>
      <w:r>
        <w:t>The backend can support multiple application instances when they share the same PostgreSQL database and object storage; this removes the prior single-app-filesystem limitation.</w:t>
      </w:r>
    </w:p>
    <w:p>
      <w:pPr>
        <w:pStyle w:val="Heading2"/>
        <w:keepNext/>
      </w:pPr>
      <w:r>
        <w:t>3.4 Existing-data migration</w:t>
      </w:r>
    </w:p>
    <w:p>
      <w:r>
        <w:t>The command npm run backend:migrate-local imports the earlier SQLite database, users and password hashes, sessions, website content, media metadata, and existing uploaded files into PostgreSQL and the S3-compatible bucket. It requires an empty target database and does not delete the source .aura-data folder. The importer refuses to mix data into a non-empty target, reducing the risk of silent conflicts. Run it before starting the new app against the target database or creating a new administrator.</w:t>
      </w:r>
    </w:p>
    <w:p>
      <w:pPr>
        <w:pStyle w:val="Heading1"/>
        <w:keepNext/>
      </w:pPr>
      <w:r>
        <w:t>4. Change register: what changed and why</w:t>
      </w: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center"/>
            <w:shd w:fill="10283F"/>
          </w:tcPr>
          <w:p>
            <w:pPr>
              <w:spacing w:after="20"/>
            </w:pPr>
            <w:r/>
            <w:r>
              <w:rPr>
                <w:rFonts w:ascii="Aptos" w:hAnsi="Aptos"/>
                <w:b/>
                <w:color w:val="FFFFFF"/>
                <w:sz w:val="17"/>
              </w:rPr>
              <w:t>Area</w:t>
            </w:r>
          </w:p>
        </w:tc>
        <w:tc>
          <w:tcPr>
            <w:tcW w:type="dxa" w:w="4320"/>
            <w:vAlign w:val="center"/>
            <w:shd w:fill="10283F"/>
          </w:tcPr>
          <w:p>
            <w:pPr>
              <w:spacing w:after="20"/>
            </w:pPr>
            <w:r/>
            <w:r>
              <w:rPr>
                <w:rFonts w:ascii="Aptos" w:hAnsi="Aptos"/>
                <w:b/>
                <w:color w:val="FFFFFF"/>
                <w:sz w:val="17"/>
              </w:rPr>
              <w:t>Principal files</w:t>
            </w:r>
          </w:p>
        </w:tc>
        <w:tc>
          <w:tcPr>
            <w:tcW w:type="dxa" w:w="4320"/>
            <w:vAlign w:val="center"/>
            <w:shd w:fill="10283F"/>
          </w:tcPr>
          <w:p>
            <w:pPr>
              <w:spacing w:after="20"/>
            </w:pPr>
            <w:r/>
            <w:r>
              <w:rPr>
                <w:rFonts w:ascii="Aptos" w:hAnsi="Aptos"/>
                <w:b/>
                <w:color w:val="FFFFFF"/>
                <w:sz w:val="17"/>
              </w:rPr>
              <w:t>Why the change was made</w:t>
            </w:r>
          </w:p>
        </w:tc>
      </w:tr>
      <w:tr>
        <w:tc>
          <w:tcPr>
            <w:tcW w:type="dxa" w:w="1800"/>
            <w:vAlign w:val="center"/>
          </w:tcPr>
          <w:p>
            <w:pPr>
              <w:spacing w:after="20"/>
            </w:pPr>
            <w:r/>
            <w:r>
              <w:rPr>
                <w:rFonts w:ascii="Aptos" w:hAnsi="Aptos"/>
                <w:b w:val="0"/>
                <w:color w:val="243746"/>
                <w:sz w:val="16"/>
              </w:rPr>
              <w:t>Public page integrations</w:t>
            </w:r>
          </w:p>
        </w:tc>
        <w:tc>
          <w:tcPr>
            <w:tcW w:type="dxa" w:w="4320"/>
            <w:vAlign w:val="center"/>
          </w:tcPr>
          <w:p>
            <w:pPr>
              <w:spacing w:after="20"/>
            </w:pPr>
            <w:r/>
            <w:r>
              <w:rPr>
                <w:rFonts w:ascii="Aptos" w:hAnsi="Aptos"/>
                <w:b w:val="0"/>
                <w:color w:val="243746"/>
                <w:sz w:val="16"/>
              </w:rPr>
              <w:t>app/page.tsx; app/about/page.tsx; app/events/page.tsx; app/departments/page.tsx; app/aurathon/page.tsx; app/team/page.tsx; app/gallery/page.tsx; components/gallery.tsx; components/use-cms-content.ts</w:t>
            </w:r>
          </w:p>
        </w:tc>
        <w:tc>
          <w:tcPr>
            <w:tcW w:type="dxa" w:w="4320"/>
            <w:vAlign w:val="center"/>
          </w:tcPr>
          <w:p>
            <w:pPr>
              <w:spacing w:after="20"/>
            </w:pPr>
            <w:r/>
            <w:r>
              <w:rPr>
                <w:rFonts w:ascii="Aptos" w:hAnsi="Aptos"/>
                <w:b w:val="0"/>
                <w:color w:val="243746"/>
                <w:sz w:val="16"/>
              </w:rPr>
              <w:t>Read saved CMS content on public surfaces and refresh it periodically, so administrator updates appear on the site rather than remaining isolated in an editor.</w:t>
            </w:r>
          </w:p>
        </w:tc>
      </w:tr>
      <w:tr>
        <w:tc>
          <w:tcPr>
            <w:tcW w:type="dxa" w:w="1800"/>
            <w:vAlign w:val="center"/>
            <w:shd w:fill="F3F6F8"/>
          </w:tcPr>
          <w:p>
            <w:pPr>
              <w:spacing w:after="20"/>
            </w:pPr>
            <w:r/>
            <w:r>
              <w:rPr>
                <w:rFonts w:ascii="Aptos" w:hAnsi="Aptos"/>
                <w:b w:val="0"/>
                <w:color w:val="243746"/>
                <w:sz w:val="16"/>
              </w:rPr>
              <w:t>Admin and member UI</w:t>
            </w:r>
          </w:p>
        </w:tc>
        <w:tc>
          <w:tcPr>
            <w:tcW w:type="dxa" w:w="4320"/>
            <w:vAlign w:val="center"/>
            <w:shd w:fill="F3F6F8"/>
          </w:tcPr>
          <w:p>
            <w:pPr>
              <w:spacing w:after="20"/>
            </w:pPr>
            <w:r/>
            <w:r>
              <w:rPr>
                <w:rFonts w:ascii="Aptos" w:hAnsi="Aptos"/>
                <w:b w:val="0"/>
                <w:color w:val="243746"/>
                <w:sz w:val="16"/>
              </w:rPr>
              <w:t>app/admin/dashboard/page.tsx; app/member/dashboard/page.tsx; app/login/page.tsx; components/admin-content-manager.tsx; components/admin-member-approvals.tsx; components/member-auth-form.tsx; components/logout-button.tsx</w:t>
            </w:r>
          </w:p>
        </w:tc>
        <w:tc>
          <w:tcPr>
            <w:tcW w:type="dxa" w:w="4320"/>
            <w:vAlign w:val="center"/>
            <w:shd w:fill="F3F6F8"/>
          </w:tcPr>
          <w:p>
            <w:pPr>
              <w:spacing w:after="20"/>
            </w:pPr>
            <w:r/>
            <w:r>
              <w:rPr>
                <w:rFonts w:ascii="Aptos" w:hAnsi="Aptos"/>
                <w:b w:val="0"/>
                <w:color w:val="243746"/>
                <w:sz w:val="16"/>
              </w:rPr>
              <w:t>Provide the editor, registration/login and approval workflow, sign-out control, role-aware dashboard access, and clear separation between admin tools and the member placeholder.</w:t>
            </w:r>
          </w:p>
        </w:tc>
      </w:tr>
      <w:tr>
        <w:tc>
          <w:tcPr>
            <w:tcW w:type="dxa" w:w="1800"/>
            <w:vAlign w:val="center"/>
          </w:tcPr>
          <w:p>
            <w:pPr>
              <w:spacing w:after="20"/>
            </w:pPr>
            <w:r/>
            <w:r>
              <w:rPr>
                <w:rFonts w:ascii="Aptos" w:hAnsi="Aptos"/>
                <w:b w:val="0"/>
                <w:color w:val="243746"/>
                <w:sz w:val="16"/>
              </w:rPr>
              <w:t>Auth APIs</w:t>
            </w:r>
          </w:p>
        </w:tc>
        <w:tc>
          <w:tcPr>
            <w:tcW w:type="dxa" w:w="4320"/>
            <w:vAlign w:val="center"/>
          </w:tcPr>
          <w:p>
            <w:pPr>
              <w:spacing w:after="20"/>
            </w:pPr>
            <w:r/>
            <w:r>
              <w:rPr>
                <w:rFonts w:ascii="Aptos" w:hAnsi="Aptos"/>
                <w:b w:val="0"/>
                <w:color w:val="243746"/>
                <w:sz w:val="16"/>
              </w:rPr>
              <w:t>app/api/auth/login/route.ts; app/api/auth/register/route.ts; app/api/auth/session/route.ts; lib/auth.ts; lib/passwords.mjs</w:t>
            </w:r>
          </w:p>
        </w:tc>
        <w:tc>
          <w:tcPr>
            <w:tcW w:type="dxa" w:w="4320"/>
            <w:vAlign w:val="center"/>
          </w:tcPr>
          <w:p>
            <w:pPr>
              <w:spacing w:after="20"/>
            </w:pPr>
            <w:r/>
            <w:r>
              <w:rPr>
                <w:rFonts w:ascii="Aptos" w:hAnsi="Aptos"/>
                <w:b w:val="0"/>
                <w:color w:val="243746"/>
                <w:sz w:val="16"/>
              </w:rPr>
              <w:t>Persist user registration and sessions, verify hashed passwords, enforce pending/approved/rejected state, and maintain server-verified roles.</w:t>
            </w:r>
          </w:p>
        </w:tc>
      </w:tr>
      <w:tr>
        <w:tc>
          <w:tcPr>
            <w:tcW w:type="dxa" w:w="1800"/>
            <w:vAlign w:val="center"/>
            <w:shd w:fill="F3F6F8"/>
          </w:tcPr>
          <w:p>
            <w:pPr>
              <w:spacing w:after="20"/>
            </w:pPr>
            <w:r/>
            <w:r>
              <w:rPr>
                <w:rFonts w:ascii="Aptos" w:hAnsi="Aptos"/>
                <w:b w:val="0"/>
                <w:color w:val="243746"/>
                <w:sz w:val="16"/>
              </w:rPr>
              <w:t>Admin approval API</w:t>
            </w:r>
          </w:p>
        </w:tc>
        <w:tc>
          <w:tcPr>
            <w:tcW w:type="dxa" w:w="4320"/>
            <w:vAlign w:val="center"/>
            <w:shd w:fill="F3F6F8"/>
          </w:tcPr>
          <w:p>
            <w:pPr>
              <w:spacing w:after="20"/>
            </w:pPr>
            <w:r/>
            <w:r>
              <w:rPr>
                <w:rFonts w:ascii="Aptos" w:hAnsi="Aptos"/>
                <w:b w:val="0"/>
                <w:color w:val="243746"/>
                <w:sz w:val="16"/>
              </w:rPr>
              <w:t>app/api/admin/members/route.ts</w:t>
            </w:r>
          </w:p>
        </w:tc>
        <w:tc>
          <w:tcPr>
            <w:tcW w:type="dxa" w:w="4320"/>
            <w:vAlign w:val="center"/>
            <w:shd w:fill="F3F6F8"/>
          </w:tcPr>
          <w:p>
            <w:pPr>
              <w:spacing w:after="20"/>
            </w:pPr>
            <w:r/>
            <w:r>
              <w:rPr>
                <w:rFonts w:ascii="Aptos" w:hAnsi="Aptos"/>
                <w:b w:val="0"/>
                <w:color w:val="243746"/>
                <w:sz w:val="16"/>
              </w:rPr>
              <w:t>Restrict member listing and approval decisions to administrators and transition only pending member accounts.</w:t>
            </w:r>
          </w:p>
        </w:tc>
      </w:tr>
      <w:tr>
        <w:tc>
          <w:tcPr>
            <w:tcW w:type="dxa" w:w="1800"/>
            <w:vAlign w:val="center"/>
          </w:tcPr>
          <w:p>
            <w:pPr>
              <w:spacing w:after="20"/>
            </w:pPr>
            <w:r/>
            <w:r>
              <w:rPr>
                <w:rFonts w:ascii="Aptos" w:hAnsi="Aptos"/>
                <w:b w:val="0"/>
                <w:color w:val="243746"/>
                <w:sz w:val="16"/>
              </w:rPr>
              <w:t>CMS API and validation</w:t>
            </w:r>
          </w:p>
        </w:tc>
        <w:tc>
          <w:tcPr>
            <w:tcW w:type="dxa" w:w="4320"/>
            <w:vAlign w:val="center"/>
          </w:tcPr>
          <w:p>
            <w:pPr>
              <w:spacing w:after="20"/>
            </w:pPr>
            <w:r/>
            <w:r>
              <w:rPr>
                <w:rFonts w:ascii="Aptos" w:hAnsi="Aptos"/>
                <w:b w:val="0"/>
                <w:color w:val="243746"/>
                <w:sz w:val="16"/>
              </w:rPr>
              <w:t>app/api/content/route.ts; lib/cms-content.ts; lib/http.ts</w:t>
            </w:r>
          </w:p>
        </w:tc>
        <w:tc>
          <w:tcPr>
            <w:tcW w:type="dxa" w:w="4320"/>
            <w:vAlign w:val="center"/>
          </w:tcPr>
          <w:p>
            <w:pPr>
              <w:spacing w:after="20"/>
            </w:pPr>
            <w:r/>
            <w:r>
              <w:rPr>
                <w:rFonts w:ascii="Aptos" w:hAnsi="Aptos"/>
                <w:b w:val="0"/>
                <w:color w:val="243746"/>
                <w:sz w:val="16"/>
              </w:rPr>
              <w:t>Expose public reads and admin-only writes, validate CMS payloads, enforce active gallery categories, and ensure referenced uploaded media exists.</w:t>
            </w:r>
          </w:p>
        </w:tc>
      </w:tr>
      <w:tr>
        <w:tc>
          <w:tcPr>
            <w:tcW w:type="dxa" w:w="1800"/>
            <w:vAlign w:val="center"/>
            <w:shd w:fill="F3F6F8"/>
          </w:tcPr>
          <w:p>
            <w:pPr>
              <w:spacing w:after="20"/>
            </w:pPr>
            <w:r/>
            <w:r>
              <w:rPr>
                <w:rFonts w:ascii="Aptos" w:hAnsi="Aptos"/>
                <w:b w:val="0"/>
                <w:color w:val="243746"/>
                <w:sz w:val="16"/>
              </w:rPr>
              <w:t>PostgreSQL persistence</w:t>
            </w:r>
          </w:p>
        </w:tc>
        <w:tc>
          <w:tcPr>
            <w:tcW w:type="dxa" w:w="4320"/>
            <w:vAlign w:val="center"/>
            <w:shd w:fill="F3F6F8"/>
          </w:tcPr>
          <w:p>
            <w:pPr>
              <w:spacing w:after="20"/>
            </w:pPr>
            <w:r/>
            <w:r>
              <w:rPr>
                <w:rFonts w:ascii="Aptos" w:hAnsi="Aptos"/>
                <w:b w:val="0"/>
                <w:color w:val="243746"/>
                <w:sz w:val="16"/>
              </w:rPr>
              <w:t>lib/database.ts; lib/database-schema.mjs</w:t>
            </w:r>
          </w:p>
        </w:tc>
        <w:tc>
          <w:tcPr>
            <w:tcW w:type="dxa" w:w="4320"/>
            <w:vAlign w:val="center"/>
            <w:shd w:fill="F3F6F8"/>
          </w:tcPr>
          <w:p>
            <w:pPr>
              <w:spacing w:after="20"/>
            </w:pPr>
            <w:r/>
            <w:r>
              <w:rPr>
                <w:rFonts w:ascii="Aptos" w:hAnsi="Aptos"/>
                <w:b w:val="0"/>
                <w:color w:val="243746"/>
                <w:sz w:val="16"/>
              </w:rPr>
              <w:t>Replace SQLite as the live application database with a shared relational database and JSONB content record; initialize tables and seed defaults on startup.</w:t>
            </w:r>
          </w:p>
        </w:tc>
      </w:tr>
      <w:tr>
        <w:tc>
          <w:tcPr>
            <w:tcW w:type="dxa" w:w="1800"/>
            <w:vAlign w:val="center"/>
          </w:tcPr>
          <w:p>
            <w:pPr>
              <w:spacing w:after="20"/>
            </w:pPr>
            <w:r/>
            <w:r>
              <w:rPr>
                <w:rFonts w:ascii="Aptos" w:hAnsi="Aptos"/>
                <w:b w:val="0"/>
                <w:color w:val="243746"/>
                <w:sz w:val="16"/>
              </w:rPr>
              <w:t>Object storage APIs</w:t>
            </w:r>
          </w:p>
        </w:tc>
        <w:tc>
          <w:tcPr>
            <w:tcW w:type="dxa" w:w="4320"/>
            <w:vAlign w:val="center"/>
          </w:tcPr>
          <w:p>
            <w:pPr>
              <w:spacing w:after="20"/>
            </w:pPr>
            <w:r/>
            <w:r>
              <w:rPr>
                <w:rFonts w:ascii="Aptos" w:hAnsi="Aptos"/>
                <w:b w:val="0"/>
                <w:color w:val="243746"/>
                <w:sz w:val="16"/>
              </w:rPr>
              <w:t>app/api/media/upload/route.ts; app/api/media/[id]/route.ts; lib/object-storage.ts</w:t>
            </w:r>
          </w:p>
        </w:tc>
        <w:tc>
          <w:tcPr>
            <w:tcW w:type="dxa" w:w="4320"/>
            <w:vAlign w:val="center"/>
          </w:tcPr>
          <w:p>
            <w:pPr>
              <w:spacing w:after="20"/>
            </w:pPr>
            <w:r/>
            <w:r>
              <w:rPr>
                <w:rFonts w:ascii="Aptos" w:hAnsi="Aptos"/>
                <w:b w:val="0"/>
                <w:color w:val="243746"/>
                <w:sz w:val="16"/>
              </w:rPr>
              <w:t>Replace local filesystem image storage with S3-compatible storage while preserving a stable application media URL and private bucket access.</w:t>
            </w:r>
          </w:p>
        </w:tc>
      </w:tr>
      <w:tr>
        <w:tc>
          <w:tcPr>
            <w:tcW w:type="dxa" w:w="1800"/>
            <w:vAlign w:val="center"/>
            <w:shd w:fill="F3F6F8"/>
          </w:tcPr>
          <w:p>
            <w:pPr>
              <w:spacing w:after="20"/>
            </w:pPr>
            <w:r/>
            <w:r>
              <w:rPr>
                <w:rFonts w:ascii="Aptos" w:hAnsi="Aptos"/>
                <w:b w:val="0"/>
                <w:color w:val="243746"/>
                <w:sz w:val="16"/>
              </w:rPr>
              <w:t>Admin bootstrap and migration</w:t>
            </w:r>
          </w:p>
        </w:tc>
        <w:tc>
          <w:tcPr>
            <w:tcW w:type="dxa" w:w="4320"/>
            <w:vAlign w:val="center"/>
            <w:shd w:fill="F3F6F8"/>
          </w:tcPr>
          <w:p>
            <w:pPr>
              <w:spacing w:after="20"/>
            </w:pPr>
            <w:r/>
            <w:r>
              <w:rPr>
                <w:rFonts w:ascii="Aptos" w:hAnsi="Aptos"/>
                <w:b w:val="0"/>
                <w:color w:val="243746"/>
                <w:sz w:val="16"/>
              </w:rPr>
              <w:t>scripts/create-admin.mjs; scripts/migrate-local.mjs</w:t>
            </w:r>
          </w:p>
        </w:tc>
        <w:tc>
          <w:tcPr>
            <w:tcW w:type="dxa" w:w="4320"/>
            <w:vAlign w:val="center"/>
            <w:shd w:fill="F3F6F8"/>
          </w:tcPr>
          <w:p>
            <w:pPr>
              <w:spacing w:after="20"/>
            </w:pPr>
            <w:r/>
            <w:r>
              <w:rPr>
                <w:rFonts w:ascii="Aptos" w:hAnsi="Aptos"/>
                <w:b w:val="0"/>
                <w:color w:val="243746"/>
                <w:sz w:val="16"/>
              </w:rPr>
              <w:t>Bootstrap the first admin without committing credentials and carry forward existing local users/content/images without removing the source data.</w:t>
            </w:r>
          </w:p>
        </w:tc>
      </w:tr>
      <w:tr>
        <w:tc>
          <w:tcPr>
            <w:tcW w:type="dxa" w:w="1800"/>
            <w:vAlign w:val="center"/>
          </w:tcPr>
          <w:p>
            <w:pPr>
              <w:spacing w:after="20"/>
            </w:pPr>
            <w:r/>
            <w:r>
              <w:rPr>
                <w:rFonts w:ascii="Aptos" w:hAnsi="Aptos"/>
                <w:b w:val="0"/>
                <w:color w:val="243746"/>
                <w:sz w:val="16"/>
              </w:rPr>
              <w:t>Local infrastructure/configuration</w:t>
            </w:r>
          </w:p>
        </w:tc>
        <w:tc>
          <w:tcPr>
            <w:tcW w:type="dxa" w:w="4320"/>
            <w:vAlign w:val="center"/>
          </w:tcPr>
          <w:p>
            <w:pPr>
              <w:spacing w:after="20"/>
            </w:pPr>
            <w:r/>
            <w:r>
              <w:rPr>
                <w:rFonts w:ascii="Aptos" w:hAnsi="Aptos"/>
                <w:b w:val="0"/>
                <w:color w:val="243746"/>
                <w:sz w:val="16"/>
              </w:rPr>
              <w:t>docker-compose.yml; .env.example; .gitignore; package.json; package-lock.json</w:t>
            </w:r>
          </w:p>
        </w:tc>
        <w:tc>
          <w:tcPr>
            <w:tcW w:type="dxa" w:w="4320"/>
            <w:vAlign w:val="center"/>
          </w:tcPr>
          <w:p>
            <w:pPr>
              <w:spacing w:after="20"/>
            </w:pPr>
            <w:r/>
            <w:r>
              <w:rPr>
                <w:rFonts w:ascii="Aptos" w:hAnsi="Aptos"/>
                <w:b w:val="0"/>
                <w:color w:val="243746"/>
                <w:sz w:val="16"/>
              </w:rPr>
              <w:t>Provide local PostgreSQL/MinIO services, document required environment settings, keep secrets and runtime data out of Git, and add database/storage client dependencies and commands.</w:t>
            </w:r>
          </w:p>
        </w:tc>
      </w:tr>
      <w:tr>
        <w:tc>
          <w:tcPr>
            <w:tcW w:type="dxa" w:w="1800"/>
            <w:vAlign w:val="center"/>
            <w:shd w:fill="F3F6F8"/>
          </w:tcPr>
          <w:p>
            <w:pPr>
              <w:spacing w:after="20"/>
            </w:pPr>
            <w:r/>
            <w:r>
              <w:rPr>
                <w:rFonts w:ascii="Aptos" w:hAnsi="Aptos"/>
                <w:b w:val="0"/>
                <w:color w:val="243746"/>
                <w:sz w:val="16"/>
              </w:rPr>
              <w:t>Documentation</w:t>
            </w:r>
          </w:p>
        </w:tc>
        <w:tc>
          <w:tcPr>
            <w:tcW w:type="dxa" w:w="4320"/>
            <w:vAlign w:val="center"/>
            <w:shd w:fill="F3F6F8"/>
          </w:tcPr>
          <w:p>
            <w:pPr>
              <w:spacing w:after="20"/>
            </w:pPr>
            <w:r/>
            <w:r>
              <w:rPr>
                <w:rFonts w:ascii="Aptos" w:hAnsi="Aptos"/>
                <w:b w:val="0"/>
                <w:color w:val="243746"/>
                <w:sz w:val="16"/>
              </w:rPr>
              <w:t>README.md; LOCAL-SETUP.md</w:t>
            </w:r>
          </w:p>
        </w:tc>
        <w:tc>
          <w:tcPr>
            <w:tcW w:type="dxa" w:w="4320"/>
            <w:vAlign w:val="center"/>
            <w:shd w:fill="F3F6F8"/>
          </w:tcPr>
          <w:p>
            <w:pPr>
              <w:spacing w:after="20"/>
            </w:pPr>
            <w:r/>
            <w:r>
              <w:rPr>
                <w:rFonts w:ascii="Aptos" w:hAnsi="Aptos"/>
                <w:b w:val="0"/>
                <w:color w:val="243746"/>
                <w:sz w:val="16"/>
              </w:rPr>
              <w:t>Explain quick start, administrator creation, migration, configuration, backup and restore, deployment cautions, and what remains out of scope.</w:t>
            </w:r>
          </w:p>
        </w:tc>
      </w:tr>
    </w:tbl>
    <w:p>
      <w:pPr>
        <w:spacing w:after="20"/>
      </w:pPr>
    </w:p>
    <w:p>
      <w:pPr>
        <w:pStyle w:val="Heading1"/>
        <w:keepNext/>
      </w:pPr>
      <w:r>
        <w:t>5. Important design decisions</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0283F"/>
          </w:tcPr>
          <w:p>
            <w:pPr>
              <w:spacing w:after="20"/>
            </w:pPr>
            <w:r/>
            <w:r>
              <w:rPr>
                <w:rFonts w:ascii="Aptos" w:hAnsi="Aptos"/>
                <w:b/>
                <w:color w:val="FFFFFF"/>
                <w:sz w:val="17"/>
              </w:rPr>
              <w:t>Decision</w:t>
            </w:r>
          </w:p>
        </w:tc>
        <w:tc>
          <w:tcPr>
            <w:tcW w:type="dxa" w:w="7200"/>
            <w:vAlign w:val="center"/>
            <w:shd w:fill="10283F"/>
          </w:tcPr>
          <w:p>
            <w:pPr>
              <w:spacing w:after="20"/>
            </w:pPr>
            <w:r/>
            <w:r>
              <w:rPr>
                <w:rFonts w:ascii="Aptos" w:hAnsi="Aptos"/>
                <w:b/>
                <w:color w:val="FFFFFF"/>
                <w:sz w:val="17"/>
              </w:rPr>
              <w:t>Rationale</w:t>
            </w:r>
          </w:p>
        </w:tc>
      </w:tr>
      <w:tr>
        <w:tc>
          <w:tcPr>
            <w:tcW w:type="dxa" w:w="2880"/>
            <w:vAlign w:val="center"/>
          </w:tcPr>
          <w:p>
            <w:pPr>
              <w:spacing w:after="20"/>
            </w:pPr>
            <w:r/>
            <w:r>
              <w:rPr>
                <w:rFonts w:ascii="Aptos" w:hAnsi="Aptos"/>
                <w:b w:val="0"/>
                <w:color w:val="243746"/>
                <w:sz w:val="16"/>
              </w:rPr>
              <w:t>PostgreSQL rather than local SQLite for the active runtime</w:t>
            </w:r>
          </w:p>
        </w:tc>
        <w:tc>
          <w:tcPr>
            <w:tcW w:type="dxa" w:w="7200"/>
            <w:vAlign w:val="center"/>
          </w:tcPr>
          <w:p>
            <w:pPr>
              <w:spacing w:after="20"/>
            </w:pPr>
            <w:r/>
            <w:r>
              <w:rPr>
                <w:rFonts w:ascii="Aptos" w:hAnsi="Aptos"/>
                <w:b w:val="0"/>
                <w:color w:val="243746"/>
                <w:sz w:val="16"/>
              </w:rPr>
              <w:t>A central durable SQL service is more suitable for a self-hosted app, concurrent requests, and multiple application processes than a database file attached to one app instance.</w:t>
            </w:r>
          </w:p>
        </w:tc>
      </w:tr>
      <w:tr>
        <w:tc>
          <w:tcPr>
            <w:tcW w:type="dxa" w:w="2880"/>
            <w:vAlign w:val="center"/>
            <w:shd w:fill="F3F6F8"/>
          </w:tcPr>
          <w:p>
            <w:pPr>
              <w:spacing w:after="20"/>
            </w:pPr>
            <w:r/>
            <w:r>
              <w:rPr>
                <w:rFonts w:ascii="Aptos" w:hAnsi="Aptos"/>
                <w:b w:val="0"/>
                <w:color w:val="243746"/>
                <w:sz w:val="16"/>
              </w:rPr>
              <w:t>S3-compatible storage rather than local upload files</w:t>
            </w:r>
          </w:p>
        </w:tc>
        <w:tc>
          <w:tcPr>
            <w:tcW w:type="dxa" w:w="7200"/>
            <w:vAlign w:val="center"/>
            <w:shd w:fill="F3F6F8"/>
          </w:tcPr>
          <w:p>
            <w:pPr>
              <w:spacing w:after="20"/>
            </w:pPr>
            <w:r/>
            <w:r>
              <w:rPr>
                <w:rFonts w:ascii="Aptos" w:hAnsi="Aptos"/>
                <w:b w:val="0"/>
                <w:color w:val="243746"/>
                <w:sz w:val="16"/>
              </w:rPr>
              <w:t>Object storage is designed for durable media and can be shared by app instances; private bucket plus an application media route avoids requiring public bucket access.</w:t>
            </w:r>
          </w:p>
        </w:tc>
      </w:tr>
      <w:tr>
        <w:tc>
          <w:tcPr>
            <w:tcW w:type="dxa" w:w="2880"/>
            <w:vAlign w:val="center"/>
          </w:tcPr>
          <w:p>
            <w:pPr>
              <w:spacing w:after="20"/>
            </w:pPr>
            <w:r/>
            <w:r>
              <w:rPr>
                <w:rFonts w:ascii="Aptos" w:hAnsi="Aptos"/>
                <w:b w:val="0"/>
                <w:color w:val="243746"/>
                <w:sz w:val="16"/>
              </w:rPr>
              <w:t>Portable local development services</w:t>
            </w:r>
          </w:p>
        </w:tc>
        <w:tc>
          <w:tcPr>
            <w:tcW w:type="dxa" w:w="7200"/>
            <w:vAlign w:val="center"/>
          </w:tcPr>
          <w:p>
            <w:pPr>
              <w:spacing w:after="20"/>
            </w:pPr>
            <w:r/>
            <w:r>
              <w:rPr>
                <w:rFonts w:ascii="Aptos" w:hAnsi="Aptos"/>
                <w:b w:val="0"/>
                <w:color w:val="243746"/>
                <w:sz w:val="16"/>
              </w:rPr>
              <w:t>Docker Compose makes PostgreSQL and MinIO available locally while retaining compatible interfaces for a future self-hosted object store or AWS S3 endpoint.</w:t>
            </w:r>
          </w:p>
        </w:tc>
      </w:tr>
      <w:tr>
        <w:tc>
          <w:tcPr>
            <w:tcW w:type="dxa" w:w="2880"/>
            <w:vAlign w:val="center"/>
            <w:shd w:fill="F3F6F8"/>
          </w:tcPr>
          <w:p>
            <w:pPr>
              <w:spacing w:after="20"/>
            </w:pPr>
            <w:r/>
            <w:r>
              <w:rPr>
                <w:rFonts w:ascii="Aptos" w:hAnsi="Aptos"/>
                <w:b w:val="0"/>
                <w:color w:val="243746"/>
                <w:sz w:val="16"/>
              </w:rPr>
              <w:t>No default admin credential</w:t>
            </w:r>
          </w:p>
        </w:tc>
        <w:tc>
          <w:tcPr>
            <w:tcW w:type="dxa" w:w="7200"/>
            <w:vAlign w:val="center"/>
            <w:shd w:fill="F3F6F8"/>
          </w:tcPr>
          <w:p>
            <w:pPr>
              <w:spacing w:after="20"/>
            </w:pPr>
            <w:r/>
            <w:r>
              <w:rPr>
                <w:rFonts w:ascii="Aptos" w:hAnsi="Aptos"/>
                <w:b w:val="0"/>
                <w:color w:val="243746"/>
                <w:sz w:val="16"/>
              </w:rPr>
              <w:t>The administrator must choose their own secret through an interactive prompt; this avoids shipping a reusable preset credential.</w:t>
            </w:r>
          </w:p>
        </w:tc>
      </w:tr>
      <w:tr>
        <w:tc>
          <w:tcPr>
            <w:tcW w:type="dxa" w:w="2880"/>
            <w:vAlign w:val="center"/>
          </w:tcPr>
          <w:p>
            <w:pPr>
              <w:spacing w:after="20"/>
            </w:pPr>
            <w:r/>
            <w:r>
              <w:rPr>
                <w:rFonts w:ascii="Aptos" w:hAnsi="Aptos"/>
                <w:b w:val="0"/>
                <w:color w:val="243746"/>
                <w:sz w:val="16"/>
              </w:rPr>
              <w:t>Keep data migration explicit</w:t>
            </w:r>
          </w:p>
        </w:tc>
        <w:tc>
          <w:tcPr>
            <w:tcW w:type="dxa" w:w="7200"/>
            <w:vAlign w:val="center"/>
          </w:tcPr>
          <w:p>
            <w:pPr>
              <w:spacing w:after="20"/>
            </w:pPr>
            <w:r/>
            <w:r>
              <w:rPr>
                <w:rFonts w:ascii="Aptos" w:hAnsi="Aptos"/>
                <w:b w:val="0"/>
                <w:color w:val="243746"/>
                <w:sz w:val="16"/>
              </w:rPr>
              <w:t>Existing SQLite data is imported only by an explicit command into a fresh target. The old directory remains intact as a rollback/source copy.</w:t>
            </w:r>
          </w:p>
        </w:tc>
      </w:tr>
      <w:tr>
        <w:tc>
          <w:tcPr>
            <w:tcW w:type="dxa" w:w="2880"/>
            <w:vAlign w:val="center"/>
            <w:shd w:fill="F3F6F8"/>
          </w:tcPr>
          <w:p>
            <w:pPr>
              <w:spacing w:after="20"/>
            </w:pPr>
            <w:r/>
            <w:r>
              <w:rPr>
                <w:rFonts w:ascii="Aptos" w:hAnsi="Aptos"/>
                <w:b w:val="0"/>
                <w:color w:val="243746"/>
                <w:sz w:val="16"/>
              </w:rPr>
              <w:t>Dashboard scope is deliberately limited</w:t>
            </w:r>
          </w:p>
        </w:tc>
        <w:tc>
          <w:tcPr>
            <w:tcW w:type="dxa" w:w="7200"/>
            <w:vAlign w:val="center"/>
            <w:shd w:fill="F3F6F8"/>
          </w:tcPr>
          <w:p>
            <w:pPr>
              <w:spacing w:after="20"/>
            </w:pPr>
            <w:r/>
            <w:r>
              <w:rPr>
                <w:rFonts w:ascii="Aptos" w:hAnsi="Aptos"/>
                <w:b w:val="0"/>
                <w:color w:val="243746"/>
                <w:sz w:val="16"/>
              </w:rPr>
              <w:t>The existing member dashboard is a placeholder. Department-specific dashboards and workflows were deferred rather than represented as implemented functionality.</w:t>
            </w:r>
          </w:p>
        </w:tc>
      </w:tr>
    </w:tbl>
    <w:p>
      <w:pPr>
        <w:spacing w:after="20"/>
      </w:pPr>
    </w:p>
    <w:p>
      <w:pPr>
        <w:pStyle w:val="Heading1"/>
        <w:keepNext/>
      </w:pPr>
      <w:r>
        <w:t>6. Current status and verification</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10283F"/>
          </w:tcPr>
          <w:p>
            <w:pPr>
              <w:spacing w:after="20"/>
            </w:pPr>
            <w:r/>
            <w:r>
              <w:rPr>
                <w:rFonts w:ascii="Aptos" w:hAnsi="Aptos"/>
                <w:b/>
                <w:color w:val="FFFFFF"/>
                <w:sz w:val="17"/>
              </w:rPr>
              <w:t>Status</w:t>
            </w:r>
          </w:p>
        </w:tc>
        <w:tc>
          <w:tcPr>
            <w:tcW w:type="dxa" w:w="7488"/>
            <w:vAlign w:val="center"/>
            <w:shd w:fill="10283F"/>
          </w:tcPr>
          <w:p>
            <w:pPr>
              <w:spacing w:after="20"/>
            </w:pPr>
            <w:r/>
            <w:r>
              <w:rPr>
                <w:rFonts w:ascii="Aptos" w:hAnsi="Aptos"/>
                <w:b/>
                <w:color w:val="FFFFFF"/>
                <w:sz w:val="17"/>
              </w:rPr>
              <w:t>Details</w:t>
            </w:r>
          </w:p>
        </w:tc>
      </w:tr>
      <w:tr>
        <w:tc>
          <w:tcPr>
            <w:tcW w:type="dxa" w:w="2592"/>
            <w:vAlign w:val="center"/>
          </w:tcPr>
          <w:p>
            <w:pPr>
              <w:spacing w:after="20"/>
            </w:pPr>
            <w:r/>
            <w:r>
              <w:rPr>
                <w:rFonts w:ascii="Aptos" w:hAnsi="Aptos"/>
                <w:b w:val="0"/>
                <w:color w:val="243746"/>
                <w:sz w:val="16"/>
              </w:rPr>
              <w:t>Implemented in repository</w:t>
            </w:r>
          </w:p>
        </w:tc>
        <w:tc>
          <w:tcPr>
            <w:tcW w:type="dxa" w:w="7488"/>
            <w:vAlign w:val="center"/>
          </w:tcPr>
          <w:p>
            <w:pPr>
              <w:spacing w:after="20"/>
            </w:pPr>
            <w:r/>
            <w:r>
              <w:rPr>
                <w:rFonts w:ascii="Aptos" w:hAnsi="Aptos"/>
                <w:b w:val="0"/>
                <w:color w:val="243746"/>
                <w:sz w:val="16"/>
              </w:rPr>
              <w:t>PostgreSQL database access and schema initialization; S3-compatible uploads and image serving; Docker Compose setup; environment example; admin bootstrap; SQLite-to-PostgreSQL/object-store migration command; refreshed setup and backup documentation.</w:t>
            </w:r>
          </w:p>
        </w:tc>
      </w:tr>
      <w:tr>
        <w:tc>
          <w:tcPr>
            <w:tcW w:type="dxa" w:w="2592"/>
            <w:vAlign w:val="center"/>
            <w:shd w:fill="F3F6F8"/>
          </w:tcPr>
          <w:p>
            <w:pPr>
              <w:spacing w:after="20"/>
            </w:pPr>
            <w:r/>
            <w:r>
              <w:rPr>
                <w:rFonts w:ascii="Aptos" w:hAnsi="Aptos"/>
                <w:b w:val="0"/>
                <w:color w:val="243746"/>
                <w:sz w:val="16"/>
              </w:rPr>
              <w:t>Checks that passed</w:t>
            </w:r>
          </w:p>
        </w:tc>
        <w:tc>
          <w:tcPr>
            <w:tcW w:type="dxa" w:w="7488"/>
            <w:vAlign w:val="center"/>
            <w:shd w:fill="F3F6F8"/>
          </w:tcPr>
          <w:p>
            <w:pPr>
              <w:spacing w:after="20"/>
            </w:pPr>
            <w:r/>
            <w:r>
              <w:rPr>
                <w:rFonts w:ascii="Aptos" w:hAnsi="Aptos"/>
                <w:b w:val="0"/>
                <w:color w:val="243746"/>
                <w:sz w:val="16"/>
              </w:rPr>
              <w:t>npm run lint; npm run build (including TypeScript validation); CLI script syntax checks; git diff --check; npm audit --omit=dev (0 production dependency vulnerabilities at the time checked).</w:t>
            </w:r>
          </w:p>
        </w:tc>
      </w:tr>
      <w:tr>
        <w:tc>
          <w:tcPr>
            <w:tcW w:type="dxa" w:w="2592"/>
            <w:vAlign w:val="center"/>
          </w:tcPr>
          <w:p>
            <w:pPr>
              <w:spacing w:after="20"/>
            </w:pPr>
            <w:r/>
            <w:r>
              <w:rPr>
                <w:rFonts w:ascii="Aptos" w:hAnsi="Aptos"/>
                <w:b w:val="0"/>
                <w:color w:val="243746"/>
                <w:sz w:val="16"/>
              </w:rPr>
              <w:t>Previously verified during SQLite phase</w:t>
            </w:r>
          </w:p>
        </w:tc>
        <w:tc>
          <w:tcPr>
            <w:tcW w:type="dxa" w:w="7488"/>
            <w:vAlign w:val="center"/>
          </w:tcPr>
          <w:p>
            <w:pPr>
              <w:spacing w:after="20"/>
            </w:pPr>
            <w:r/>
            <w:r>
              <w:rPr>
                <w:rFonts w:ascii="Aptos" w:hAnsi="Aptos"/>
                <w:b w:val="0"/>
                <w:color w:val="243746"/>
                <w:sz w:val="16"/>
              </w:rPr>
              <w:t>Browser checks confirmed member registration remained pending until admin approval, an approved member could reach the member placeholder dashboard, uploaded media appeared publicly, image content survived a server restart, and signed-out requests to protected dashboards redirected to login.</w:t>
            </w:r>
          </w:p>
        </w:tc>
      </w:tr>
      <w:tr>
        <w:tc>
          <w:tcPr>
            <w:tcW w:type="dxa" w:w="2592"/>
            <w:vAlign w:val="center"/>
            <w:shd w:fill="F3F6F8"/>
          </w:tcPr>
          <w:p>
            <w:pPr>
              <w:spacing w:after="20"/>
            </w:pPr>
            <w:r/>
            <w:r>
              <w:rPr>
                <w:rFonts w:ascii="Aptos" w:hAnsi="Aptos"/>
                <w:b w:val="0"/>
                <w:color w:val="243746"/>
                <w:sz w:val="16"/>
              </w:rPr>
              <w:t>Not yet verified for new PostgreSQL/S3 runtime</w:t>
            </w:r>
          </w:p>
        </w:tc>
        <w:tc>
          <w:tcPr>
            <w:tcW w:type="dxa" w:w="7488"/>
            <w:vAlign w:val="center"/>
            <w:shd w:fill="F3F6F8"/>
          </w:tcPr>
          <w:p>
            <w:pPr>
              <w:spacing w:after="20"/>
            </w:pPr>
            <w:r/>
            <w:r>
              <w:rPr>
                <w:rFonts w:ascii="Aptos" w:hAnsi="Aptos"/>
                <w:b w:val="0"/>
                <w:color w:val="243746"/>
                <w:sz w:val="16"/>
              </w:rPr>
              <w:t>Docker services could not be started in the coding environment because Docker was unavailable. No live PostgreSQL connection, MinIO bucket initialization, admin creation on PostgreSQL, SQLite migration execution, or production-storage upload was tested there.</w:t>
            </w:r>
          </w:p>
        </w:tc>
      </w:tr>
      <w:tr>
        <w:tc>
          <w:tcPr>
            <w:tcW w:type="dxa" w:w="2592"/>
            <w:vAlign w:val="center"/>
          </w:tcPr>
          <w:p>
            <w:pPr>
              <w:spacing w:after="20"/>
            </w:pPr>
            <w:r/>
            <w:r>
              <w:rPr>
                <w:rFonts w:ascii="Aptos" w:hAnsi="Aptos"/>
                <w:b w:val="0"/>
                <w:color w:val="243746"/>
                <w:sz w:val="16"/>
              </w:rPr>
              <w:t>Not yet configured for the owner</w:t>
            </w:r>
          </w:p>
        </w:tc>
        <w:tc>
          <w:tcPr>
            <w:tcW w:type="dxa" w:w="7488"/>
            <w:vAlign w:val="center"/>
          </w:tcPr>
          <w:p>
            <w:pPr>
              <w:spacing w:after="20"/>
            </w:pPr>
            <w:r/>
            <w:r>
              <w:rPr>
                <w:rFonts w:ascii="Aptos" w:hAnsi="Aptos"/>
                <w:b w:val="0"/>
                <w:color w:val="243746"/>
                <w:sz w:val="16"/>
              </w:rPr>
              <w:t>No real administrator credential has been created for the PostgreSQL database. The owner must create environment files, set private secrets, start services, optionally migrate local data, and run the admin bootstrap command.</w:t>
            </w:r>
          </w:p>
        </w:tc>
      </w:tr>
    </w:tbl>
    <w:p>
      <w:pPr>
        <w:spacing w:after="20"/>
      </w:pPr>
    </w:p>
    <w:p>
      <w:pPr>
        <w:pStyle w:val="Heading1"/>
        <w:keepNext/>
      </w:pPr>
      <w:r>
        <w:t>7. Setup and operational workflow</w:t>
      </w:r>
    </w:p>
    <w:p>
      <w:r>
        <w:t>For local development, install Docker Desktop and work from the project root. The complete step-by-step instructions and restore guidance are in LOCAL-SETUP.md. The short sequence is:</w:t>
      </w:r>
    </w:p>
    <w:p>
      <w:pPr>
        <w:pStyle w:val="ListNumber"/>
        <w:spacing w:after="60"/>
      </w:pPr>
      <w:r>
        <w:t>Copy .env.example to .env and .env.local; replace example credentials in both files with matching strong local secrets. Do not publish these files.</w:t>
      </w:r>
    </w:p>
    <w:p>
      <w:pPr>
        <w:pStyle w:val="ListNumber"/>
        <w:spacing w:after="60"/>
      </w:pPr>
      <w:r>
        <w:t>Run docker compose up -d to start PostgreSQL and MinIO, then npm install.</w:t>
      </w:r>
    </w:p>
    <w:p>
      <w:pPr>
        <w:pStyle w:val="ListNumber"/>
        <w:spacing w:after="60"/>
      </w:pPr>
      <w:r>
        <w:t>If an existing SQLite site needs to be carried forward, run npm run backend:migrate-local before starting the application or creating a new admin. Retain .aura-data until the migration is verified.</w:t>
      </w:r>
    </w:p>
    <w:p>
      <w:pPr>
        <w:pStyle w:val="ListNumber"/>
        <w:spacing w:after="60"/>
      </w:pPr>
      <w:r>
        <w:t>For a fresh installation, or after migration when no admin account exists, run npm run admin:create in an interactive terminal and follow the hidden-password prompts.</w:t>
      </w:r>
    </w:p>
    <w:p>
      <w:pPr>
        <w:pStyle w:val="ListNumber"/>
        <w:spacing w:after="60"/>
      </w:pPr>
      <w:r>
        <w:t>Run npm run dev and visit http://localhost:3000/login. Register member accounts and approve them from the admin dashboard.</w:t>
      </w:r>
    </w:p>
    <w:p>
      <w:pPr>
        <w:pStyle w:val="ListNumber"/>
        <w:spacing w:after="60"/>
      </w:pPr>
      <w:r>
        <w:t>Back up PostgreSQL and the object bucket separately; test restore of both together. Docker volumes are persistence, not a backup.</w:t>
      </w:r>
    </w:p>
    <w:p>
      <w:pPr>
        <w:pStyle w:val="Heading1"/>
        <w:keepNext/>
      </w:pPr>
      <w:r>
        <w:t>8. Recommended future scope</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10283F"/>
          </w:tcPr>
          <w:p>
            <w:pPr>
              <w:spacing w:after="20"/>
            </w:pPr>
            <w:r/>
            <w:r>
              <w:rPr>
                <w:rFonts w:ascii="Aptos" w:hAnsi="Aptos"/>
                <w:b/>
                <w:color w:val="FFFFFF"/>
                <w:sz w:val="17"/>
              </w:rPr>
              <w:t>Roadmap item</w:t>
            </w:r>
          </w:p>
        </w:tc>
        <w:tc>
          <w:tcPr>
            <w:tcW w:type="dxa" w:w="7200"/>
            <w:vAlign w:val="center"/>
            <w:shd w:fill="10283F"/>
          </w:tcPr>
          <w:p>
            <w:pPr>
              <w:spacing w:after="20"/>
            </w:pPr>
            <w:r/>
            <w:r>
              <w:rPr>
                <w:rFonts w:ascii="Aptos" w:hAnsi="Aptos"/>
                <w:b/>
                <w:color w:val="FFFFFF"/>
                <w:sz w:val="17"/>
              </w:rPr>
              <w:t>Recommended work</w:t>
            </w:r>
          </w:p>
        </w:tc>
      </w:tr>
      <w:tr>
        <w:tc>
          <w:tcPr>
            <w:tcW w:type="dxa" w:w="2880"/>
            <w:vAlign w:val="center"/>
          </w:tcPr>
          <w:p>
            <w:pPr>
              <w:spacing w:after="20"/>
            </w:pPr>
            <w:r/>
            <w:r>
              <w:rPr>
                <w:rFonts w:ascii="Aptos" w:hAnsi="Aptos"/>
                <w:b w:val="0"/>
                <w:color w:val="243746"/>
                <w:sz w:val="16"/>
              </w:rPr>
              <w:t>Priority 1 ? Run and verify the new stack</w:t>
            </w:r>
          </w:p>
        </w:tc>
        <w:tc>
          <w:tcPr>
            <w:tcW w:type="dxa" w:w="7200"/>
            <w:vAlign w:val="center"/>
          </w:tcPr>
          <w:p>
            <w:pPr>
              <w:spacing w:after="20"/>
            </w:pPr>
            <w:r/>
            <w:r>
              <w:rPr>
                <w:rFonts w:ascii="Aptos" w:hAnsi="Aptos"/>
                <w:b w:val="0"/>
                <w:color w:val="243746"/>
                <w:sz w:val="16"/>
              </w:rPr>
              <w:t>Start Compose services on the owner?s machine; create the real admin; test login, registration, approval/rejection, CMS edits, image upload/display, restart persistence, and backup/restore. Run the migration first if the SQLite data is valuable.</w:t>
            </w:r>
          </w:p>
        </w:tc>
      </w:tr>
      <w:tr>
        <w:tc>
          <w:tcPr>
            <w:tcW w:type="dxa" w:w="2880"/>
            <w:vAlign w:val="center"/>
            <w:shd w:fill="F3F6F8"/>
          </w:tcPr>
          <w:p>
            <w:pPr>
              <w:spacing w:after="20"/>
            </w:pPr>
            <w:r/>
            <w:r>
              <w:rPr>
                <w:rFonts w:ascii="Aptos" w:hAnsi="Aptos"/>
                <w:b w:val="0"/>
                <w:color w:val="243746"/>
                <w:sz w:val="16"/>
              </w:rPr>
              <w:t>Priority 1 ? Production security and operations</w:t>
            </w:r>
          </w:p>
        </w:tc>
        <w:tc>
          <w:tcPr>
            <w:tcW w:type="dxa" w:w="7200"/>
            <w:vAlign w:val="center"/>
            <w:shd w:fill="F3F6F8"/>
          </w:tcPr>
          <w:p>
            <w:pPr>
              <w:spacing w:after="20"/>
            </w:pPr>
            <w:r/>
            <w:r>
              <w:rPr>
                <w:rFonts w:ascii="Aptos" w:hAnsi="Aptos"/>
                <w:b w:val="0"/>
                <w:color w:val="243746"/>
                <w:sz w:val="16"/>
              </w:rPr>
              <w:t>Use a reverse proxy and HTTPS, private networking, production secrets, firewall rules, a least-privilege object-storage identity, automated backups, restore drills, monitoring, log retention, and a documented update/rollback process. Do not expose PostgreSQL or MinIO admin ports publicly.</w:t>
            </w:r>
          </w:p>
        </w:tc>
      </w:tr>
      <w:tr>
        <w:tc>
          <w:tcPr>
            <w:tcW w:type="dxa" w:w="2880"/>
            <w:vAlign w:val="center"/>
          </w:tcPr>
          <w:p>
            <w:pPr>
              <w:spacing w:after="20"/>
            </w:pPr>
            <w:r/>
            <w:r>
              <w:rPr>
                <w:rFonts w:ascii="Aptos" w:hAnsi="Aptos"/>
                <w:b w:val="0"/>
                <w:color w:val="243746"/>
                <w:sz w:val="16"/>
              </w:rPr>
              <w:t>Priority 1 ? Authentication hardening</w:t>
            </w:r>
          </w:p>
        </w:tc>
        <w:tc>
          <w:tcPr>
            <w:tcW w:type="dxa" w:w="7200"/>
            <w:vAlign w:val="center"/>
          </w:tcPr>
          <w:p>
            <w:pPr>
              <w:spacing w:after="20"/>
            </w:pPr>
            <w:r/>
            <w:r>
              <w:rPr>
                <w:rFonts w:ascii="Aptos" w:hAnsi="Aptos"/>
                <w:b w:val="0"/>
                <w:color w:val="243746"/>
                <w:sz w:val="16"/>
              </w:rPr>
              <w:t>Add request rate limiting and abuse protection on login and registration; password reset and verified email flows; optional multi-factor authentication for admins; session revocation/expiry cleanup; security headers; and a dedicated security review before public deployment.</w:t>
            </w:r>
          </w:p>
        </w:tc>
      </w:tr>
      <w:tr>
        <w:tc>
          <w:tcPr>
            <w:tcW w:type="dxa" w:w="2880"/>
            <w:vAlign w:val="center"/>
            <w:shd w:fill="F3F6F8"/>
          </w:tcPr>
          <w:p>
            <w:pPr>
              <w:spacing w:after="20"/>
            </w:pPr>
            <w:r/>
            <w:r>
              <w:rPr>
                <w:rFonts w:ascii="Aptos" w:hAnsi="Aptos"/>
                <w:b w:val="0"/>
                <w:color w:val="243746"/>
                <w:sz w:val="16"/>
              </w:rPr>
              <w:t>Priority 2 ? Formal database migrations</w:t>
            </w:r>
          </w:p>
        </w:tc>
        <w:tc>
          <w:tcPr>
            <w:tcW w:type="dxa" w:w="7200"/>
            <w:vAlign w:val="center"/>
            <w:shd w:fill="F3F6F8"/>
          </w:tcPr>
          <w:p>
            <w:pPr>
              <w:spacing w:after="20"/>
            </w:pPr>
            <w:r/>
            <w:r>
              <w:rPr>
                <w:rFonts w:ascii="Aptos" w:hAnsi="Aptos"/>
                <w:b w:val="0"/>
                <w:color w:val="243746"/>
                <w:sz w:val="16"/>
              </w:rPr>
              <w:t>Replace startup-only CREATE TABLE IF NOT EXISTS setup with versioned, reviewed migrations so future schema changes are repeatable and reversible across environments.</w:t>
            </w:r>
          </w:p>
        </w:tc>
      </w:tr>
      <w:tr>
        <w:tc>
          <w:tcPr>
            <w:tcW w:type="dxa" w:w="2880"/>
            <w:vAlign w:val="center"/>
          </w:tcPr>
          <w:p>
            <w:pPr>
              <w:spacing w:after="20"/>
            </w:pPr>
            <w:r/>
            <w:r>
              <w:rPr>
                <w:rFonts w:ascii="Aptos" w:hAnsi="Aptos"/>
                <w:b w:val="0"/>
                <w:color w:val="243746"/>
                <w:sz w:val="16"/>
              </w:rPr>
              <w:t>Priority 2 ? Richer publishing workflow</w:t>
            </w:r>
          </w:p>
        </w:tc>
        <w:tc>
          <w:tcPr>
            <w:tcW w:type="dxa" w:w="7200"/>
            <w:vAlign w:val="center"/>
          </w:tcPr>
          <w:p>
            <w:pPr>
              <w:spacing w:after="20"/>
            </w:pPr>
            <w:r/>
            <w:r>
              <w:rPr>
                <w:rFonts w:ascii="Aptos" w:hAnsi="Aptos"/>
                <w:b w:val="0"/>
                <w:color w:val="243746"/>
                <w:sz w:val="16"/>
              </w:rPr>
              <w:t>Add content preview/draft/publish states, scheduled publication, edition pinning/archival controls, richer event and AURATHON fields (history, winners, archive), and audit/version history with restore.</w:t>
            </w:r>
          </w:p>
        </w:tc>
      </w:tr>
      <w:tr>
        <w:tc>
          <w:tcPr>
            <w:tcW w:type="dxa" w:w="2880"/>
            <w:vAlign w:val="center"/>
            <w:shd w:fill="F3F6F8"/>
          </w:tcPr>
          <w:p>
            <w:pPr>
              <w:spacing w:after="20"/>
            </w:pPr>
            <w:r/>
            <w:r>
              <w:rPr>
                <w:rFonts w:ascii="Aptos" w:hAnsi="Aptos"/>
                <w:b w:val="0"/>
                <w:color w:val="243746"/>
                <w:sz w:val="16"/>
              </w:rPr>
              <w:t>Priority 2 ? Media management</w:t>
            </w:r>
          </w:p>
        </w:tc>
        <w:tc>
          <w:tcPr>
            <w:tcW w:type="dxa" w:w="7200"/>
            <w:vAlign w:val="center"/>
            <w:shd w:fill="F3F6F8"/>
          </w:tcPr>
          <w:p>
            <w:pPr>
              <w:spacing w:after="20"/>
            </w:pPr>
            <w:r/>
            <w:r>
              <w:rPr>
                <w:rFonts w:ascii="Aptos" w:hAnsi="Aptos"/>
                <w:b w:val="0"/>
                <w:color w:val="243746"/>
                <w:sz w:val="16"/>
              </w:rPr>
              <w:t>Add deletion/replacement and orphan cleanup, image resizing/thumbnails and modern formats, storage quotas, upload progress, and optional signed direct-to-storage uploads for larger scale.</w:t>
            </w:r>
          </w:p>
        </w:tc>
      </w:tr>
      <w:tr>
        <w:tc>
          <w:tcPr>
            <w:tcW w:type="dxa" w:w="2880"/>
            <w:vAlign w:val="center"/>
          </w:tcPr>
          <w:p>
            <w:pPr>
              <w:spacing w:after="20"/>
            </w:pPr>
            <w:r/>
            <w:r>
              <w:rPr>
                <w:rFonts w:ascii="Aptos" w:hAnsi="Aptos"/>
                <w:b w:val="0"/>
                <w:color w:val="243746"/>
                <w:sz w:val="16"/>
              </w:rPr>
              <w:t>Priority 2 ? Real member and department dashboards</w:t>
            </w:r>
          </w:p>
        </w:tc>
        <w:tc>
          <w:tcPr>
            <w:tcW w:type="dxa" w:w="7200"/>
            <w:vAlign w:val="center"/>
          </w:tcPr>
          <w:p>
            <w:pPr>
              <w:spacing w:after="20"/>
            </w:pPr>
            <w:r/>
            <w:r>
              <w:rPr>
                <w:rFonts w:ascii="Aptos" w:hAnsi="Aptos"/>
                <w:b w:val="0"/>
                <w:color w:val="243746"/>
                <w:sz w:val="16"/>
              </w:rPr>
              <w:t>Replace placeholder task cards with department assignment, role/permission rules, tasks, deadlines, review and collaboration workflows requested for future phases.</w:t>
            </w:r>
          </w:p>
        </w:tc>
      </w:tr>
      <w:tr>
        <w:tc>
          <w:tcPr>
            <w:tcW w:type="dxa" w:w="4968"/>
          </w:tcPr>
          <w:p>
            <w:r>
              <w:t>Priority 2 - Visual design and interaction follow-through</w:t>
            </w:r>
          </w:p>
        </w:tc>
        <w:tc>
          <w:tcPr>
            <w:tcW w:type="dxa" w:w="4968"/>
          </w:tcPr>
          <w:p>
            <w:r>
              <w:t>Review every route at desktop, tablet, and mobile widths to confirm which panels should receive the glass/card interaction; tune contrast and motion only where needed. Check pointer and touch behavior, keyboard/focus accessibility, reduced-motion behavior, and cross-browser scroll-reveal fallback; retain the hydration-safe approach.</w:t>
            </w:r>
          </w:p>
        </w:tc>
      </w:tr>
      <w:tr>
        <w:tc>
          <w:tcPr>
            <w:tcW w:type="dxa" w:w="2880"/>
            <w:vAlign w:val="center"/>
            <w:shd w:fill="F3F6F8"/>
          </w:tcPr>
          <w:p>
            <w:pPr>
              <w:spacing w:after="20"/>
            </w:pPr>
            <w:r/>
            <w:r>
              <w:rPr>
                <w:rFonts w:ascii="Aptos" w:hAnsi="Aptos"/>
                <w:b w:val="0"/>
                <w:color w:val="243746"/>
                <w:sz w:val="16"/>
              </w:rPr>
              <w:t>Priority 3 ? Quality and accessibility</w:t>
            </w:r>
          </w:p>
        </w:tc>
        <w:tc>
          <w:tcPr>
            <w:tcW w:type="dxa" w:w="7200"/>
            <w:vAlign w:val="center"/>
            <w:shd w:fill="F3F6F8"/>
          </w:tcPr>
          <w:p>
            <w:pPr>
              <w:spacing w:after="20"/>
            </w:pPr>
            <w:r/>
            <w:r>
              <w:rPr>
                <w:rFonts w:ascii="Aptos" w:hAnsi="Aptos"/>
                <w:b w:val="0"/>
                <w:color w:val="243746"/>
                <w:sz w:val="16"/>
              </w:rPr>
              <w:t>Add automated unit/integration/end-to-end tests for auth, roles, CMS validation, migrations and media; test keyboard/screen-reader behavior and responsive layouts; add deployment health checks and operational runbooks.</w:t>
            </w:r>
          </w:p>
        </w:tc>
      </w:tr>
      <w:tr>
        <w:tc>
          <w:tcPr>
            <w:tcW w:type="dxa" w:w="2880"/>
            <w:vAlign w:val="center"/>
          </w:tcPr>
          <w:p>
            <w:pPr>
              <w:spacing w:after="20"/>
            </w:pPr>
            <w:r/>
            <w:r>
              <w:rPr>
                <w:rFonts w:ascii="Aptos" w:hAnsi="Aptos"/>
                <w:b w:val="0"/>
                <w:color w:val="243746"/>
                <w:sz w:val="16"/>
              </w:rPr>
              <w:t>Priority 3 ? Deployment decision</w:t>
            </w:r>
          </w:p>
        </w:tc>
        <w:tc>
          <w:tcPr>
            <w:tcW w:type="dxa" w:w="7200"/>
            <w:vAlign w:val="center"/>
          </w:tcPr>
          <w:p>
            <w:pPr>
              <w:spacing w:after="20"/>
            </w:pPr>
            <w:r/>
            <w:r>
              <w:rPr>
                <w:rFonts w:ascii="Aptos" w:hAnsi="Aptos"/>
                <w:b w:val="0"/>
                <w:color w:val="243746"/>
                <w:sz w:val="16"/>
              </w:rPr>
              <w:t>Choose the target self-hosted server/provider, domain, backup destination, storage implementation, TLS/reverse proxy and maintenance ownership. Validate resource sizing, disaster recovery, privacy requirements and applicable data-retention practices.</w:t>
            </w:r>
          </w:p>
        </w:tc>
      </w:tr>
    </w:tbl>
    <w:p>
      <w:pPr>
        <w:spacing w:after="20"/>
      </w:pPr>
    </w:p>
    <w:p>
      <w:pPr>
        <w:pStyle w:val="Heading1"/>
        <w:keepNext/>
      </w:pPr>
      <w:r>
        <w:t>9. Scope boundaries and cautions</w:t>
      </w:r>
    </w:p>
    <w:p>
      <w:pPr>
        <w:pStyle w:val="ListBullet"/>
        <w:spacing w:after="40"/>
      </w:pPr>
      <w:r>
        <w:t>The codebase is prepared for a PostgreSQL/S3-compatible backend, but the new backend has not yet been launched end-to-end against running Docker services in the development environment.</w:t>
      </w:r>
    </w:p>
    <w:p>
      <w:pPr>
        <w:pStyle w:val="ListBullet"/>
        <w:spacing w:after="40"/>
      </w:pPr>
      <w:r>
        <w:t>Development secrets in .env.example are placeholders only. Replace them with unique strong values, keep .env and .env.local private, and never deploy the examples.</w:t>
      </w:r>
    </w:p>
    <w:p>
      <w:pPr>
        <w:pStyle w:val="ListBullet"/>
        <w:spacing w:after="40"/>
      </w:pPr>
      <w:r>
        <w:t>The SQLite migration command is one-way import tooling; it retains the source but does not automatically synchronize data back to SQLite. Run it into a fresh PostgreSQL database and verify results before retiring the old store.</w:t>
      </w:r>
    </w:p>
    <w:p>
      <w:pPr>
        <w:pStyle w:val="ListBullet"/>
        <w:spacing w:after="40"/>
      </w:pPr>
      <w:r>
        <w:t>Backups must include both relational data and image objects. A database dump without its matching object bucket is incomplete; Docker volumes alone are not an offsite backup.</w:t>
      </w:r>
    </w:p>
    <w:p>
      <w:pPr>
        <w:pStyle w:val="ListBullet"/>
        <w:spacing w:after="40"/>
      </w:pPr>
      <w:r>
        <w:t>A self-hosted backend is not automatically production-ready merely because it builds. Rate limits, account recovery, production operations, monitoring, deployment controls, and security review still need deliberate implementation and verification.</w:t>
      </w:r>
    </w:p>
    <w:p>
      <w:pPr>
        <w:pStyle w:val="Heading1"/>
        <w:keepNext/>
      </w:pPr>
      <w:r>
        <w:t>10. Summary</w:t>
      </w:r>
    </w:p>
    <w:p>
      <w:r>
        <w:t>The core transition from browser/local-file persistence to a self-hostable backend is implemented in code: PostgreSQL now holds accounts, sessions, content, and media metadata; private S3-compatible object storage holds uploaded images; and a migration path is provided for the previous SQLite data. The admin editing and approval experiences remain connected to the public website. The immediate next milestone is to configure and start the local services, migrate any existing data into a fresh target, create the real administrator, and verify the complete workflow with persistent PostgreSQL and object storage.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B78"/>
        <w:sz w:val="16"/>
      </w:rPr>
      <w:t xml:space="preserve">AURA Website ? Internal project progress document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D9A9A"/>
        <w:sz w:val="16"/>
      </w:rPr>
      <w:t>AURA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4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0283F"/>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D9A9A"/>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Display" w:hAnsi="Aptos Display"/>
      <w:b/>
      <w:bCs/>
      <w:color w:val="D9903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0283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 Website Project Progress, Backend Changes and Future Scope</dc:title>
  <dc:subject>Project implementation status, rationale, backend setup and roadmap</dc:subject>
  <dc:creator>AURA Website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