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Meeting Notes </w:t>
      </w:r>
    </w:p>
    <w:p w:rsidR="00000000" w:rsidDel="00000000" w:rsidP="00000000" w:rsidRDefault="00000000" w:rsidRPr="00000000">
      <w:pPr>
        <w:contextualSpacing w:val="0"/>
      </w:pPr>
      <w:r w:rsidDel="00000000" w:rsidR="00000000" w:rsidRPr="00000000">
        <w:rPr>
          <w:rtl w:val="0"/>
        </w:rPr>
        <w:t xml:space="preserve">Introduction to Encoding </w:t>
      </w:r>
      <w:r w:rsidDel="00000000" w:rsidR="00000000" w:rsidRPr="00000000">
        <w:rPr>
          <w:i w:val="1"/>
          <w:rtl w:val="0"/>
        </w:rPr>
        <w:t xml:space="preserve">Forest Leaves</w:t>
      </w:r>
    </w:p>
    <w:p w:rsidR="00000000" w:rsidDel="00000000" w:rsidP="00000000" w:rsidRDefault="00000000" w:rsidRPr="00000000">
      <w:pPr>
        <w:contextualSpacing w:val="0"/>
      </w:pPr>
      <w:r w:rsidDel="00000000" w:rsidR="00000000" w:rsidRPr="00000000">
        <w:rPr>
          <w:rtl w:val="0"/>
        </w:rPr>
        <w:t xml:space="preserve">3 November 2016</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Answer questions about Oxygen, about schema</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 thru Dawn’s slides together</w:t>
      </w:r>
    </w:p>
    <w:p w:rsidR="00000000" w:rsidDel="00000000" w:rsidP="00000000" w:rsidRDefault="00000000" w:rsidRPr="00000000">
      <w:pPr>
        <w:contextualSpacing w:val="0"/>
      </w:pPr>
      <w:r w:rsidDel="00000000" w:rsidR="00000000" w:rsidRPr="00000000">
        <w:rPr>
          <w:rtl w:val="0"/>
        </w:rPr>
        <w:tab/>
        <w:t xml:space="preserve">---add details about making notes in XML document </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Stop at #29 Encoding Named Entitiess</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Pick up again at #29 Notes and Annotations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Importance of this pamphlet in particular: “b</w:t>
      </w:r>
      <w:r w:rsidDel="00000000" w:rsidR="00000000" w:rsidRPr="00000000">
        <w:rPr>
          <w:color w:val="333333"/>
          <w:sz w:val="21"/>
          <w:szCs w:val="21"/>
          <w:highlight w:val="white"/>
          <w:rtl w:val="0"/>
        </w:rPr>
        <w:t xml:space="preserve">ecause of the pamphlet’s discovery, we know now that none of these already known poems were reproduced in their original form, but were revised in various ways for the 1854 publication.”</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Call up the header template</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Look up the URL:</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m60006.eos-intl.net/M60006/OPAC/Details/Record.aspx?IndexCode=-1&amp;TaskCode=404608&amp;HitCount=1&amp;CollectionCode=2&amp;SortDirection=Descending&amp;CurrentPage=1&amp;CurrentLinkCode=MM60006|2563256|1|3299398&amp;SelectionType=0&amp;SearchType=2&amp;BibCode=MM60006|2563256|1|3299398</w:t>
        </w:r>
      </w:hyperlink>
      <w:r w:rsidDel="00000000" w:rsidR="00000000" w:rsidRPr="00000000">
        <w:rPr>
          <w:rtl w:val="0"/>
        </w:rPr>
        <w:t xml:space="preserve"> to complete metadata</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them what tags they used</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 over l and lg, as well as persName and placeName</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“note” and annotation</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Discuss “Ethiopia” tagging and the need to document such examples</w:t>
      </w:r>
    </w:p>
    <w:p w:rsidR="00000000" w:rsidDel="00000000" w:rsidP="00000000" w:rsidRDefault="00000000" w:rsidRPr="00000000">
      <w:pPr>
        <w:contextualSpacing w:val="0"/>
      </w:pPr>
      <w:r w:rsidDel="00000000" w:rsidR="00000000" w:rsidRPr="00000000">
        <w:rPr>
          <w:rtl w:val="0"/>
        </w:rPr>
        <w:t xml:space="preserve">8. Next steps and timeline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60006.eos-intl.net/M60006/OPAC/Details/Record.aspx?IndexCode=-1&amp;TaskCode=404608&amp;HitCount=1&amp;CollectionCode=2&amp;SortDirection=Descending&amp;CurrentPage=1&amp;CurrentLinkCode=MM60006%7C2563256%7C1%7C3299398&amp;SelectionType=0&amp;SearchType=2&amp;BibCode=MM60006%7C2563256%7C1%7C3299398" TargetMode="External"/><Relationship Id="rId6" Type="http://schemas.openxmlformats.org/officeDocument/2006/relationships/hyperlink" Target="http://m60006.eos-intl.net/M60006/OPAC/Details/Record.aspx?IndexCode=-1&amp;TaskCode=404608&amp;HitCount=1&amp;CollectionCode=2&amp;SortDirection=Descending&amp;CurrentPage=1&amp;CurrentLinkCode=MM60006%7C2563256%7C1%7C3299398&amp;SelectionType=0&amp;SearchType=2&amp;BibCode=MM60006%7C2563256%7C1%7C3299398" TargetMode="External"/></Relationships>
</file>