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1320"/>
          <w:sz w:val="40"/>
        </w:rPr>
        <w:t>VC Scout: Revised Results, Insights Summary, and Implementation Plan</w:t>
      </w:r>
    </w:p>
    <w:p>
      <w:r>
        <w:rPr>
          <w:rFonts w:ascii="Arial" w:hAnsi="Arial"/>
          <w:color w:val="6B7280"/>
          <w:sz w:val="20"/>
        </w:rPr>
        <w:t>Briefing note and audit-trail companion | Team 17 - Mia Murphy, Finn Kliewer, Kayvon Jafarzadeh, Nathanael Gill, Om Patel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sz w:val="18"/>
              </w:rPr>
              <w:t xml:space="preserve">Executive readout. </w:t>
            </w:r>
            <w:r>
              <w:rPr>
                <w:rFonts w:ascii="Arial" w:hAnsi="Arial"/>
                <w:sz w:val="18"/>
              </w:rPr>
              <w:t>The revised analysis moves VC Scout from a unicorn-only valuation exercise to a defensible benchmark-and-scouting framework. We preserve the original descriptive findings, rerun/audit the expanded data, correct funding-unit risks for unicorn rows, and separate what the data can support from what it cannot. The result is a two-layer framework: (1) a unicorn valuation benchmark and residual outperformance model, and (2) a broader tier diagnostic that improves context but is not treated as a causal startup-success model.</w:t>
            </w:r>
          </w:p>
        </w:tc>
      </w:tr>
    </w:tbl>
    <w:p>
      <w:pPr>
        <w:pStyle w:val="SourceNote"/>
      </w:pPr>
      <w:r>
        <w:rPr>
          <w:i/>
          <w:color w:val="6B7280"/>
        </w:rPr>
        <w:t>Traceability: revised analysis script vc_scout_final_analysis.py; source-of-truth file vc_scout_source_of_truth_final.json; final slide deliverable team17_vc_scout_revised_results_insights_implementation_final.pptx.</w:t>
      </w:r>
    </w:p>
    <w:p>
      <w:pPr>
        <w:pStyle w:val="Heading2"/>
      </w:pPr>
      <w:r>
        <w:t>Traceability reference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Tag</w:t>
            </w:r>
          </w:p>
        </w:tc>
        <w:tc>
          <w:tcPr>
            <w:tcW w:type="dxa" w:w="331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Audit file(s)</w:t>
            </w:r>
          </w:p>
        </w:tc>
        <w:tc>
          <w:tcPr>
            <w:tcW w:type="dxa" w:w="4320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Used for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A1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vc_scout_audit_summary_final.csv; vc_scout_source_of_truth_final.json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dataset audit counts, funding correction counts, Form D quality checks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A2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vc_scout_audited_startup_master_final.csv; vc_scout_tier_summary_final.csv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expanded tier counts, valuation/funding coverage, corrected funding fields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A3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vc_scout_era_regime_summary_final.csv; vc_scout_unicorn_year_counts_final.csv; vc_scout_hypothesis_summary_final.csv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2021/COVID-era regime analysis and hypothesis H1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A4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vc_scout_model_results_final.csv; vc_scout_permutation_importance_final.csv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valuation benchmark model comparison and feature importance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A5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vc_scout_unicorn_residuals_final.csv; vc_scout_residuals_by_industry_final.csv; vc_scout_residuals_by_country_final.csv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5"/>
              </w:rPr>
              <w:t>residual outperformance analysis by company, industry, and geography</w:t>
            </w:r>
          </w:p>
        </w:tc>
      </w:tr>
      <w:tr>
        <w:tc>
          <w:tcPr>
            <w:tcW w:type="dxa" w:w="6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A6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vc_scout_tier_classifier_diagnostic_final.csv; vc_scout_formd_q2_2026_audited_final.csv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expanded tier diagnostic and Form D market-context screen</w:t>
            </w:r>
          </w:p>
        </w:tc>
      </w:tr>
    </w:tbl>
    <w:p>
      <w:pPr>
        <w:pStyle w:val="Heading1"/>
      </w:pPr>
      <w:r>
        <w:t>1. Refined analytics approach</w:t>
      </w:r>
    </w:p>
    <w:p>
      <w:r>
        <w:rPr>
          <w:b/>
        </w:rPr>
        <w:t xml:space="preserve">Core change. </w:t>
      </w:r>
      <w:r>
        <w:t>The project now separates valuation benchmarking from startup scouting. The original model asked how large a unicorn valuation gets once a company is already in the unicorn population. The revised approach treats that as a benchmark problem, then uses residuals and tier comparisons as scouting signals rather than as guaranteed predictions.</w:t>
      </w:r>
    </w:p>
    <w:p>
      <w:pPr>
        <w:pStyle w:val="ListBullet"/>
        <w:spacing w:after="40"/>
      </w:pPr>
      <w:r>
        <w:t>Layer 1 - Unicorn valuation benchmark: predict ln(valuation) among current/former unicorns using audited funding, industry, geography, tier, era, investor count, and years to unicorn. The output is expected valuation, not investment advice. [A4]</w:t>
      </w:r>
    </w:p>
    <w:p>
      <w:pPr>
        <w:pStyle w:val="ListBullet"/>
        <w:spacing w:after="40"/>
      </w:pPr>
      <w:r>
        <w:t>Layer 2 - Scouting signal layer: compare segments by residual outperformance, sample size, sector concentration, and data-confidence flags. Companies or segments above the benchmark become candidates for deeper diligence. [A5]</w:t>
      </w:r>
    </w:p>
    <w:p>
      <w:pPr>
        <w:pStyle w:val="ListBullet"/>
        <w:spacing w:after="40"/>
      </w:pPr>
      <w:r>
        <w:t>Layer 3 - Expanded-tier diagnostic: use the 75,230-row master file to compare unicorns, soonicorn proxies, accelerator controls, funded controls, exited unicorns, and delisted unicorns. This improves context but does not eliminate source bias or survivorship bias. [A2, A6]</w:t>
      </w:r>
    </w:p>
    <w:p>
      <w:pPr>
        <w:pStyle w:val="SourceNote"/>
      </w:pPr>
      <w:r>
        <w:rPr>
          <w:i/>
          <w:color w:val="6B7280"/>
        </w:rPr>
        <w:t>Audit references: model comparisons are in vc_scout_model_results_final.csv; residual outputs are in vc_scout_unicorn_residuals_final.csv and segment residual tables; expanded tier diagnostics are in vc_scout_tier_classifier_diagnostic_final.csv.</w:t>
      </w:r>
    </w:p>
    <w:p>
      <w:r>
        <w:br w:type="page"/>
      </w:r>
    </w:p>
    <w:p>
      <w:pPr>
        <w:pStyle w:val="Heading1"/>
      </w:pPr>
      <w:r>
        <w:t>2. Data shortcomings and how we addressed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223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What we found</w:t>
            </w:r>
          </w:p>
        </w:tc>
        <w:tc>
          <w:tcPr>
            <w:tcW w:type="dxa" w:w="367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Treatment in revised analysis</w:t>
            </w:r>
          </w:p>
        </w:tc>
        <w:tc>
          <w:tcPr>
            <w:tcW w:type="dxa" w:w="1008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Audit trail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Survivorship bias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Original Kaggle file only covered companies that reached unicorn status.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Do not claim probability of startup success from unicorn-only data; use conditional valuation and benchmark language.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A2, A4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Expanded data source bias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The master file has 75,230 rows but mixes current unicorns, old funded controls, accelerator portfolios, and proxy tiers.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Use as a diagnostic comparison universe, not a causal success model.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A1, A2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Funding-unit risk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950 unicorn rows were flagged as unit-suspect when valuation and funding were both present.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Preserve raw values and create audited funding values for analysis. After correction, 0 audited unicorn rows had funding greater than valuation.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A1, A2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Sparse valuation coverage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Only 1,829 of 75,230 expanded rows have valuation.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Limit valuation modeling to rows with defensible valuation data; avoid valuation claims for control tiers without valuations.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A1, A2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Form D noise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Q2 2026 Form D contains 5,728 rows; 238 raises exceed $100M, but 156 are likely non-startup categories.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Use Form D only as market context unless filtered to operating-company raises.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A1, A6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3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coverage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Figure 1. Audit coverage and usable data by field. Source: audit_coverage_final.png; underlying files: vc_scout_audit_summary_final.csv and vc_scout_tier_summary_final.csv. [A1, A2]</w:t>
      </w:r>
    </w:p>
    <w:p>
      <w:r>
        <w:br w:type="page"/>
      </w:r>
    </w:p>
    <w:p>
      <w:pPr>
        <w:pStyle w:val="Heading1"/>
      </w:pPr>
      <w:r>
        <w:t>3. Detailed insights and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Hypothesis</w:t>
            </w:r>
          </w:p>
        </w:tc>
        <w:tc>
          <w:tcPr>
            <w:tcW w:type="dxa" w:w="1440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331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304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Implication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H1 - 2021 is a distinct market regime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Supported descriptively/statistically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2021 is the largest single dated cohort in the expanded current-unicorn list (441 rows); era differences in valuation and funding are statistically significant; sector mix differs by era.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Bring in external VC funding/interest-rate data only if the final project needs causal COVID interpretation.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H2 - Funding predicts valuation with diminishing returns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Supported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Audited benchmark champion test R2=0.30; no-funding stress test R2=0.05; log-log funding elasticity ~= 0.49.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Use benchmark residuals rather than raw valuations to spot capital-efficient outperformance.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H3 - Sector/geography add signal beyond funding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Partially supported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Industry, country, and continent residual tables show directional variation, but several medians are muted and small categories require confidence flags.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Use sample-size penalties and confidence bands before turning residuals into rankings.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H4 - Expanded controls solve survivorship bias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Disproven / only partially solved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The 75k-row master adds comparison tiers, but sources are mixed across time and valuation coverage is only 1,829 rows.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3"/>
              </w:rPr>
              <w:t>Use expanded data for diagnostic tier comparisons, not causal startup-success prediction.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H5 - Investor count is enough for investor network effects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Not proven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Investor count is a weak proxy for investor quality, timing, and co-investor networks.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3"/>
              </w:rPr>
              <w:t>Add top-fund flags and co-investor network features in final implementation.</w:t>
            </w:r>
          </w:p>
        </w:tc>
      </w:tr>
    </w:tbl>
    <w:p>
      <w:pPr>
        <w:pStyle w:val="Heading2"/>
      </w:pPr>
      <w:r>
        <w:t>Insight 1 - 2021 is a distinct market regime, but not automatically a COVID-causality claim</w:t>
      </w:r>
    </w:p>
    <w:p>
      <w:pPr>
        <w:pStyle w:val="ListBullet"/>
        <w:spacing w:after="40"/>
      </w:pPr>
      <w:r>
        <w:t>The expanded current-unicorn list shows 441 dated unicorn rows in 2021, compared with 351 pre-2021 and 607 post-2021. Median valuation declined from $2.30B pre-2021 to $1.67B in 2021 and $1.50B post-2021; median funding also declined from $0.505B to $0.320B and then $0.231B. [A3]</w:t>
      </w:r>
    </w:p>
    <w:p>
      <w:pPr>
        <w:pStyle w:val="ListBullet"/>
        <w:spacing w:after="40"/>
      </w:pPr>
      <w:r>
        <w:t>Kruskal-Wallis tests indicate significant differences by era for valuation and funding, while years-to-unicorn did not differ significantly. The sector mix also differs significantly by era. [A3]</w:t>
      </w:r>
    </w:p>
    <w:p>
      <w:pPr>
        <w:pStyle w:val="ListBullet"/>
        <w:spacing w:after="40"/>
      </w:pPr>
      <w:r>
        <w:t>Interpretation: 2021 should be treated as a financing/valuation regime shock and analyzed separately. The dataset flags the discontinuity, but external VC funding, interest-rate, and digital-adoption data would be required to make a causal COVID claim. [A3]</w:t>
      </w:r>
    </w:p>
    <w:p>
      <w:pPr>
        <w:pStyle w:val="Heading2"/>
      </w:pPr>
      <w:r>
        <w:t>Insight 2 - Funding matters, but with diminishing returns</w:t>
      </w:r>
    </w:p>
    <w:p>
      <w:pPr>
        <w:pStyle w:val="ListBullet"/>
        <w:spacing w:after="40"/>
      </w:pPr>
      <w:r>
        <w:t>The audited valuation benchmark selected Gradient Boosting as the champion among the tested models, with test R2 = 0.30, MAE = 0.48 log units, and median absolute percentage error of about 40%. [A4]</w:t>
      </w:r>
    </w:p>
    <w:p>
      <w:r>
        <w:t>Reconciliation with the prior model deliverable: the earlier R2 near 0.51 came from the original Kaggle-only unicorn modeling setup. The revised R2 is lower because the benchmark is rebuilt after the expanded-data audit, funding-unit corrections, and inclusion of current/former unicorn-history tiers. We prefer the lower audited estimate because it is more defensible for implementation. [A4]</w:t>
      </w:r>
    </w:p>
    <w:p>
      <w:pPr>
        <w:pStyle w:val="ListBullet"/>
        <w:spacing w:after="40"/>
      </w:pPr>
      <w:r>
        <w:t>A no-funding stress test produced test R2 = 0.05, confirming that most company-level valuation signal comes from funding. [A4]</w:t>
      </w:r>
    </w:p>
    <w:p>
      <w:pPr>
        <w:pStyle w:val="ListBullet"/>
        <w:spacing w:after="40"/>
      </w:pPr>
      <w:r>
        <w:t>The OLS companion model estimates funding elasticity around 0.49, which means valuation rises with funding but less than one-for-one. [A4]</w:t>
      </w:r>
    </w:p>
    <w:p>
      <w:pPr>
        <w:pStyle w:val="ListBullet"/>
        <w:spacing w:after="40"/>
      </w:pPr>
      <w:r>
        <w:t>Business implication: VC Scout should not reward raw capital raised. The useful signal is whether a company, sector, or geography outperforms its expected valuation after controlling for funding. [A5]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3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sults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Figure 2. Audited model comparison. Source: model_results_final.png; underlying file: vc_scout_model_results_final.csv. [A4]</w:t>
      </w:r>
    </w:p>
    <w:p>
      <w:pPr>
        <w:pStyle w:val="Heading2"/>
      </w:pPr>
      <w:r>
        <w:t>Insight 3 - Sector and geography add signal, but residuals are the better scouting lens</w:t>
      </w:r>
    </w:p>
    <w:p>
      <w:pPr>
        <w:pStyle w:val="ListBullet"/>
        <w:spacing w:after="40"/>
      </w:pPr>
      <w:r>
        <w:t>Permutation importance shows ln(funding) is dominant, while industry and continent add smaller but positive signal. Era, tier, investor count, and years-to-unicorn are much weaker once funding is included. [A4]</w:t>
      </w:r>
    </w:p>
    <w:p>
      <w:pPr>
        <w:pStyle w:val="ListBullet"/>
        <w:spacing w:after="40"/>
      </w:pPr>
      <w:r>
        <w:t>Industry residuals are directionally useful: Cybersecurity, Fintech, Enterprise Software, and Health &amp; Bio show positive average residuals in the audited benchmark, while Transport &amp; Logistics and E-commerce &amp; Consumer underperform in this sample. [A5]</w:t>
      </w:r>
    </w:p>
    <w:p>
      <w:pPr>
        <w:pStyle w:val="ListBullet"/>
        <w:spacing w:after="40"/>
      </w:pPr>
      <w:r>
        <w:t>Country residuals show pockets of positive benchmark outperformance, but some segments have small sample sizes. Rankings should therefore include sample-size penalties and confidence bands. [A5]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0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_residuals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Figure 3. Industry-level valuation residuals. Source: industry_residuals_final.png; underlying file: vc_scout_residuals_by_industry_final.csv. [A5]</w:t>
      </w:r>
    </w:p>
    <w:p>
      <w:pPr>
        <w:pStyle w:val="Heading2"/>
      </w:pPr>
      <w:r>
        <w:t>Insight 4 - The expanded classifier looks strong, but may be learning data-source artifacts</w:t>
      </w:r>
    </w:p>
    <w:p>
      <w:pPr>
        <w:pStyle w:val="ListBullet"/>
        <w:spacing w:after="40"/>
      </w:pPr>
      <w:r>
        <w:t>The expanded-tier diagnostic model reports very high performance, including Gradient Boosting ROC AUC = 0.993 and balanced accuracy = 0.933 on a sampled tier diagnostic. [A6]</w:t>
      </w:r>
    </w:p>
    <w:p>
      <w:pPr>
        <w:pStyle w:val="ListBullet"/>
        <w:spacing w:after="40"/>
      </w:pPr>
      <w:r>
        <w:t>This is useful as a diagnostic, but not a final success model. The comparison tiers are drawn from different sources and time periods, so the classifier may separate sources rather than true startup quality. [A2, A6]</w:t>
      </w:r>
    </w:p>
    <w:p>
      <w:pPr>
        <w:pStyle w:val="ListBullet"/>
        <w:spacing w:after="40"/>
      </w:pPr>
      <w:r>
        <w:t>Final positioning: the expanded dataset reduces unicorn-only tunnel vision, but it only partially addresses survivorship bias. VC Scout should use it for benchmarking and triage, not causal investment decisions. [A2, A6]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1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_classifier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Figure 4. Expanded tier diagnostic results. Source: tier_classifier_final.png; underlying file: vc_scout_tier_classifier_diagnostic_final.csv. [A6]</w:t>
      </w:r>
    </w:p>
    <w:p>
      <w:pPr>
        <w:pStyle w:val="Heading1"/>
      </w:pPr>
      <w:r>
        <w:t>4. Initial business actions and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2448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024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115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Traceability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Use benchmark residuals, not raw valuation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Rank sectors, countries, and investor clusters by actual minus expected log valuation.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This controls for funding and market regime instead of rewarding capital intensity.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A4, A5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Treat 2021 as its own regime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Report pre-2021, 2021, and post-2021 insights separately.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2021 is statistically distinct in valuation, funding, and sector mix.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A3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Use expanded data as context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Use tier comparisons to broaden the story, but label them diagnostic.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Mixed source timing and sparse valuation coverage prevent causal success claims.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A1, A2, A6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Add investor network features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Replace raw investor count with top-fund flags, co-investor clusters, and sector specialization.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Investor count had near-zero importance and does not capture quality or timing.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A4, A5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Publish confidence flags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Attach sample-size and confidence warnings to each sector/geography ranking.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Some high-residual countries or sectors have small n, so rankings should not imply false precision.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A5</w:t>
            </w:r>
          </w:p>
        </w:tc>
      </w:tr>
    </w:tbl>
    <w:p>
      <w:r>
        <w:br w:type="page"/>
      </w:r>
    </w:p>
    <w:p>
      <w:pPr>
        <w:pStyle w:val="Heading1"/>
      </w:pPr>
      <w:r>
        <w:t>5. Implementation plan for final capstone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Workstream</w:t>
            </w:r>
          </w:p>
        </w:tc>
        <w:tc>
          <w:tcPr>
            <w:tcW w:type="dxa" w:w="259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Next deliverable</w:t>
            </w:r>
          </w:p>
        </w:tc>
        <w:tc>
          <w:tcPr>
            <w:tcW w:type="dxa" w:w="2592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Owner logic</w:t>
            </w:r>
          </w:p>
        </w:tc>
        <w:tc>
          <w:tcPr>
            <w:tcW w:type="dxa" w:w="2160"/>
            <w:shd w:fill="0B1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Source/audit dependency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Data pipeline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One reproducible cleaned dataset plus documented exclusions.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Data lead maintains raw-to-clean lineage.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vc_scout_final_analysis.py; A1, A2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Benchmark model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Locked valuation benchmark with residual exports.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Model lead owns train/test, diagnostics, and stress tests.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A4, A5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VC Scout scoring layer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Transparent score blending residuals, sector concentration, efficiency, and confidence.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Framework lead translates model outputs into decision-support language.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A3, A4, A5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Dashboard/prototype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Interactive or slide-based view by sector, geography, investor cluster, and era.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Visualization lead builds audience-ready outputs.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4"/>
              </w:rPr>
              <w:t>All chart PNGs; source-of-truth JSON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Final narrative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Recommendation deck with limitations stated clearly.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Presentation lead ensures the story is not overclaiming.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6FA"/>
            <w:vAlign w:val="center"/>
          </w:tcPr>
          <w:p>
            <w:r>
              <w:rPr>
                <w:rFonts w:ascii="Arial" w:hAnsi="Arial"/>
                <w:sz w:val="14"/>
              </w:rPr>
              <w:t>This memo plus final PPTX/PDF</w:t>
            </w:r>
          </w:p>
        </w:tc>
      </w:tr>
    </w:tbl>
    <w:p>
      <w:pPr>
        <w:pStyle w:val="Heading1"/>
      </w:pPr>
      <w:r>
        <w:t>Appendix - audit-trail inventory for submission</w:t>
      </w:r>
    </w:p>
    <w:p>
      <w:pPr>
        <w:spacing w:after="80"/>
      </w:pPr>
      <w:r>
        <w:t>The audit trail ZIP is designed to make the work reproducible. The key files to submit with the deck and this memo are: vc_scout_audited_startup_master_final.csv, vc_scout_model_results_final.csv, vc_scout_unicorn_residuals_final.csv, vc_scout_residuals_by_industry_final.csv, vc_scout_residuals_by_country_final.csv, vc_scout_hypothesis_summary_final.csv, vc_scout_source_of_truth_final.json, and vc_scout_final_analysis.py. These files preserve the raw-to-clean logic, the exact metrics used in the deck, and the exported tables behind the visuals.</w:t>
      </w:r>
    </w:p>
    <w:p>
      <w:pPr>
        <w:pStyle w:val="SourceNote"/>
      </w:pPr>
      <w:r>
        <w:rPr>
          <w:i/>
          <w:color w:val="6B7280"/>
        </w:rPr>
        <w:t>Submission package reference: vc_scout_revised_results_audit_trail_final.zip. Companion slide files: team17_vc_scout_revised_results_insights_implementation_final.pptx and .pdf.</w:t>
      </w:r>
    </w:p>
    <w:sectPr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Companion memo to revised results, insights summary, and implementation plan deck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Team 17 | VC Scout | Revised Results Briefing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3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3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rPr>
      <w:rFonts w:ascii="Arial" w:hAnsi="Arial"/>
      <w:color w:val="6B728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