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Is Hedge Fund Activism Good for Shareholders?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444444"/>
          <w:sz w:val="26"/>
          <w:szCs w:val="26"/>
        </w:rPr>
        <w:t xml:space="preserve">Week 8 — Class Notes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Professor Julian Franks  |  Mergers, MBOs &amp; Other Corporate Reorganisations</w:t>
      </w:r>
    </w:p>
    <w:p>
      <w:pPr>
        <w:pStyle w:val="Heading1"/>
      </w:pPr>
      <w:r>
        <w:t xml:space="preserve">1. Types of Activist Investors</w:t>
      </w:r>
    </w:p>
    <w:p>
      <w:pPr>
        <w:spacing w:after="80"/>
      </w:pPr>
      <w:r>
        <w:t xml:space="preserve">There are three broad categories of institutional investor, distinguished by their investment approach and engagement style:</w:t>
      </w:r>
    </w:p>
    <w:p>
      <w:pPr>
        <w:pStyle w:val="Heading3"/>
      </w:pPr>
      <w:r>
        <w:t xml:space="preserve">Passive (Index) Funds</w:t>
      </w:r>
    </w:p>
    <w:p>
      <w:pPr>
        <w:pStyle w:val="ListParagraph"/>
        <w:numPr>
          <w:ilvl w:val="0"/>
          <w:numId w:val="2"/>
        </w:numPr>
      </w:pPr>
      <w:r>
        <w:t xml:space="preserve">Examples: BlackRock, Vanguard, Amundi.</w:t>
      </w:r>
    </w:p>
    <w:p>
      <w:pPr>
        <w:pStyle w:val="ListParagraph"/>
        <w:numPr>
          <w:ilvl w:val="0"/>
          <w:numId w:val="2"/>
        </w:numPr>
      </w:pPr>
      <w:r>
        <w:t xml:space="preserve">No stock-picking; hold thousands of positions to replicate the index.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Cannot exit </w:t>
      </w:r>
      <w:r>
        <w:t xml:space="preserve">when dissatisfied — selling is determined by index rules, not investment views.</w:t>
      </w:r>
    </w:p>
    <w:p>
      <w:pPr>
        <w:pStyle w:val="ListParagraph"/>
        <w:numPr>
          <w:ilvl w:val="0"/>
          <w:numId w:val="2"/>
        </w:numPr>
      </w:pPr>
      <w:r>
        <w:t xml:space="preserve">Engagement carried out exclusively by the Governance &amp; Stewardship (G&amp;S) team. Voice only.</w:t>
      </w:r>
    </w:p>
    <w:p>
      <w:pPr>
        <w:spacing w:after="120"/>
      </w:pPr>
    </w:p>
    <w:p>
      <w:pPr>
        <w:pStyle w:val="Heading3"/>
      </w:pPr>
      <w:r>
        <w:t xml:space="preserve">Active Asset Managers</w:t>
      </w:r>
    </w:p>
    <w:p>
      <w:pPr>
        <w:pStyle w:val="ListParagraph"/>
        <w:numPr>
          <w:ilvl w:val="0"/>
          <w:numId w:val="2"/>
        </w:numPr>
      </w:pPr>
      <w:r>
        <w:t xml:space="preserve">Examples: Fidelity, Standard Life Aberdeen.</w:t>
      </w:r>
    </w:p>
    <w:p>
      <w:pPr>
        <w:pStyle w:val="ListParagraph"/>
        <w:numPr>
          <w:ilvl w:val="0"/>
          <w:numId w:val="2"/>
        </w:numPr>
      </w:pPr>
      <w:r>
        <w:t xml:space="preserve">Stock-picking is primary; engagement is subordinate to the investment thesis.</w:t>
      </w:r>
    </w:p>
    <w:p>
      <w:pPr>
        <w:pStyle w:val="ListParagraph"/>
        <w:numPr>
          <w:ilvl w:val="0"/>
          <w:numId w:val="2"/>
        </w:numPr>
      </w:pPr>
      <w:r>
        <w:t xml:space="preserve">G&amp;S team and fund managers engage separately and with different agendas. Can use both voice and exit.</w:t>
      </w:r>
    </w:p>
    <w:p>
      <w:pPr>
        <w:pStyle w:val="ListParagraph"/>
        <w:numPr>
          <w:ilvl w:val="0"/>
          <w:numId w:val="2"/>
        </w:numPr>
      </w:pPr>
      <w:r>
        <w:t xml:space="preserve">Typically hold stakes in hundreds of companies.</w:t>
      </w:r>
    </w:p>
    <w:p>
      <w:pPr>
        <w:spacing w:after="120"/>
      </w:pPr>
    </w:p>
    <w:p>
      <w:pPr>
        <w:pStyle w:val="Heading3"/>
      </w:pPr>
      <w:r>
        <w:t xml:space="preserve">Activist Hedge Funds</w:t>
      </w:r>
    </w:p>
    <w:p>
      <w:pPr>
        <w:pStyle w:val="ListParagraph"/>
        <w:numPr>
          <w:ilvl w:val="0"/>
          <w:numId w:val="2"/>
        </w:numPr>
      </w:pPr>
      <w:r>
        <w:t xml:space="preserve">Examples: Elliott Management, Cevian Capital, TCI.</w:t>
      </w:r>
    </w:p>
    <w:p>
      <w:pPr>
        <w:pStyle w:val="ListParagraph"/>
        <w:numPr>
          <w:ilvl w:val="0"/>
          <w:numId w:val="2"/>
        </w:numPr>
      </w:pPr>
      <w:r>
        <w:t xml:space="preserve">The investment is motivated by the engagement — the fund buys the stake specifically to bring about strategic change.</w:t>
      </w:r>
    </w:p>
    <w:p>
      <w:pPr>
        <w:pStyle w:val="ListParagraph"/>
        <w:numPr>
          <w:ilvl w:val="0"/>
          <w:numId w:val="2"/>
        </w:numPr>
      </w:pPr>
      <w:r>
        <w:t xml:space="preserve">Typically hold fewer than 15 concentrated positions. Exit once engagement objectives are achieved.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Two styles of activism: </w:t>
      </w:r>
      <w:r>
        <w:t xml:space="preserve">(1) Confrontational/public (Elliott's Argentina sovereign debt case — seizing a naval vessel to recover bond value; public proxy fights); (2) Collaborative/quiet (Elliott's more recent UK engagements; Cevian's preference for board representation and long-term cooperative approach).</w:t>
      </w:r>
    </w:p>
    <w:p>
      <w:pPr>
        <w:spacing w:after="160"/>
      </w:pPr>
    </w:p>
    <w:p>
      <w:pPr>
        <w:pStyle w:val="Heading1"/>
      </w:pPr>
      <w:r>
        <w:t xml:space="preserve">2. Planning an Activist Engagement</w:t>
      </w:r>
    </w:p>
    <w:p>
      <w:pPr>
        <w:pStyle w:val="Heading3"/>
      </w:pPr>
      <w:r>
        <w:t xml:space="preserve">Value Unlock Strategy</w:t>
      </w:r>
    </w:p>
    <w:p>
      <w:pPr>
        <w:spacing w:after="80"/>
      </w:pPr>
      <w:r>
        <w:t xml:space="preserve">An activist must identify and articulate a clear value creation thesis before building a stake. This typically involves: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Sum-of-the-parts analysis: </w:t>
      </w:r>
      <w:r>
        <w:t xml:space="preserve">Value each business division as a standalone pure-play peer. If the sum of the parts exceeds the current market cap by, say, 30%, there is a conglomerate discount to unlock.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Strategies to unlock value: </w:t>
      </w:r>
      <w:r>
        <w:t xml:space="preserve">sale to a strategic buyer or PE sponsor; spin-offs or demergers; cost reductions; improved capital allocation.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Operational improvement: </w:t>
      </w:r>
      <w:r>
        <w:t xml:space="preserve">Identify where the target underperforms on operating margins relative to peers (e.g. earning 10% margin when peers earn 20%), and define the levers to close that gap.</w:t>
      </w:r>
    </w:p>
    <w:p>
      <w:pPr>
        <w:spacing w:after="120"/>
      </w:pPr>
    </w:p>
    <w:p>
      <w:pPr>
        <w:pStyle w:val="Heading3"/>
      </w:pPr>
      <w:r>
        <w:t xml:space="preserve">Building the Stake</w:t>
      </w:r>
    </w:p>
    <w:p>
      <w:pPr>
        <w:pStyle w:val="ListParagraph"/>
        <w:numPr>
          <w:ilvl w:val="0"/>
          <w:numId w:val="2"/>
        </w:numPr>
      </w:pPr>
      <w:r>
        <w:t xml:space="preserve">Activists build their position quietly, staying below the regulatory disclosure threshold (3% in the UK, similar in Europe) to avoid tipping off the market.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Due diligence: </w:t>
      </w:r>
      <w:r>
        <w:t xml:space="preserve">Extensive research before investing — speaking to former directors, industry contacts, and conducting 100+ interviews within the company ecosystem, not just reviewing financial statements.</w:t>
      </w:r>
    </w:p>
    <w:p>
      <w:pPr>
        <w:pStyle w:val="ListParagraph"/>
        <w:numPr>
          <w:ilvl w:val="0"/>
          <w:numId w:val="2"/>
        </w:numPr>
      </w:pPr>
      <w:r>
        <w:t xml:space="preserve">Assess the 'influence situation': how much management resistance is likely? How much ego is tied up in the current strategy? Has the CEO been in post for many years? A recently changed CEO (especially an outsider) is a more receptive situation.</w:t>
      </w:r>
    </w:p>
    <w:p>
      <w:pPr>
        <w:spacing w:after="120"/>
      </w:pPr>
    </w:p>
    <w:p>
      <w:pPr>
        <w:pStyle w:val="Heading3"/>
      </w:pPr>
      <w:r>
        <w:t xml:space="preserve">Escalation Ladder: From Private to Public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Private negotiation: </w:t>
      </w:r>
      <w:r>
        <w:t xml:space="preserve">Preferred starting point. Avoids reputational risk and keeps the activist's leverage intact.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Coalition with other shareholders: </w:t>
      </w:r>
      <w:r>
        <w:t xml:space="preserve">If management does not engage, approach other institutional investors (typically targeting 7–10% combined support) to strengthen the negotiating position. Must avoid forming a 'concert party' or SEC 'group' (which triggers regulatory filing obligations).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Public campaign / White paper: </w:t>
      </w:r>
      <w:r>
        <w:t xml:space="preserve">Elliott's approach — publish a detailed public document outlining how the company can create value. This creates press coverage and puts management on the defensive.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Proxy contest / EGM: </w:t>
      </w:r>
      <w:r>
        <w:t xml:space="preserve">Submit shareholder proposals or seek to replace board members at the AGM or an Extraordinary General Meeting. Requires building a proxy voting coalition.</w:t>
      </w:r>
    </w:p>
    <w:p>
      <w:pPr>
        <w:spacing w:after="160"/>
      </w:pPr>
    </w:p>
    <w:p>
      <w:pPr>
        <w:pStyle w:val="Heading3"/>
      </w:pPr>
      <w:r>
        <w:t xml:space="preserve">Case Study: Elliott Partners and Whitbread</w:t>
      </w:r>
    </w:p>
    <w:p>
      <w:pPr>
        <w:pStyle w:val="ListParagraph"/>
        <w:numPr>
          <w:ilvl w:val="0"/>
          <w:numId w:val="2"/>
        </w:numPr>
      </w:pPr>
      <w:r>
        <w:t xml:space="preserve">Elliott built an initial 2.9% stake — just below the 3% UK disclosure threshold — and engaged privately.</w:t>
      </w:r>
    </w:p>
    <w:p>
      <w:pPr>
        <w:pStyle w:val="ListParagraph"/>
        <w:numPr>
          <w:ilvl w:val="0"/>
          <w:numId w:val="2"/>
        </w:numPr>
      </w:pPr>
      <w:r>
        <w:t xml:space="preserve">Objective: force Whitbread to split its two divisions — Costa Coffee and Premier Inn — to eliminate the conglomerate discount.</w:t>
      </w:r>
    </w:p>
    <w:p>
      <w:pPr>
        <w:pStyle w:val="ListParagraph"/>
        <w:numPr>
          <w:ilvl w:val="0"/>
          <w:numId w:val="2"/>
        </w:numPr>
      </w:pPr>
      <w:r>
        <w:t xml:space="preserve">When private negotiations stalled, Elliott went public in April 2018 with a 6% stake. The share price jumped ~7%. Elliott then approached other shareholders for support.</w:t>
      </w:r>
    </w:p>
    <w:p>
      <w:pPr>
        <w:pStyle w:val="ListParagraph"/>
        <w:numPr>
          <w:ilvl w:val="0"/>
          <w:numId w:val="2"/>
        </w:numPr>
      </w:pPr>
      <w:r>
        <w:t xml:space="preserve">Outcome: Whitbread announced the demerger on 25 April 2018. Costa Coffee was sold to Coca-Cola for ~£4bn. Elliott reduced its stake in July 2019 after achieving its objective.</w:t>
      </w:r>
    </w:p>
    <w:p>
      <w:pPr>
        <w:spacing w:after="160"/>
      </w:pPr>
    </w:p>
    <w:p>
      <w:pPr>
        <w:pStyle w:val="Heading1"/>
      </w:pPr>
      <w:r>
        <w:t xml:space="preserve">3. Targets and Recent Campaigns</w:t>
      </w:r>
    </w:p>
    <w:p>
      <w:pPr>
        <w:pStyle w:val="Heading3"/>
      </w:pPr>
      <w:r>
        <w:t xml:space="preserve">What Activists Look For</w:t>
      </w:r>
    </w:p>
    <w:p>
      <w:pPr>
        <w:pStyle w:val="ListParagraph"/>
        <w:numPr>
          <w:ilvl w:val="0"/>
          <w:numId w:val="2"/>
        </w:numPr>
      </w:pPr>
      <w:r>
        <w:t xml:space="preserve">Large, liquid, listed companies — easier to build a meaningful stake and exit.</w:t>
      </w:r>
    </w:p>
    <w:p>
      <w:pPr>
        <w:pStyle w:val="ListParagraph"/>
        <w:numPr>
          <w:ilvl w:val="0"/>
          <w:numId w:val="2"/>
        </w:numPr>
      </w:pPr>
      <w:r>
        <w:t xml:space="preserve">Share price underperformance, strategic failures, poor profitability, entrenched boards.</w:t>
      </w:r>
    </w:p>
    <w:p>
      <w:pPr>
        <w:pStyle w:val="ListParagraph"/>
        <w:numPr>
          <w:ilvl w:val="0"/>
          <w:numId w:val="2"/>
        </w:numPr>
      </w:pPr>
      <w:r>
        <w:t xml:space="preserve">Conglomerates trading at a discount to the sum of their parts.</w:t>
      </w:r>
    </w:p>
    <w:p>
      <w:pPr>
        <w:pStyle w:val="ListParagraph"/>
        <w:numPr>
          <w:ilvl w:val="0"/>
          <w:numId w:val="2"/>
        </w:numPr>
      </w:pPr>
      <w:r>
        <w:t xml:space="preserve">Common denominator: well-researched targets and thorough due diligence.</w:t>
      </w:r>
    </w:p>
    <w:p>
      <w:pPr>
        <w:spacing w:after="120"/>
      </w:pPr>
    </w:p>
    <w:p>
      <w:pPr>
        <w:pStyle w:val="Heading3"/>
      </w:pPr>
      <w:r>
        <w:t xml:space="preserve">Recent Examples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BP (Elliott, ~5% stake): </w:t>
      </w:r>
      <w:r>
        <w:t xml:space="preserve">Elliott targeted BP following share price underperformance, billions written off in green investment write-downs, and strategic failures. FT (Nov 2025): 'Cage rattler Elliott may spy big value in a smaller BP.'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Honeywell: </w:t>
      </w:r>
      <w:r>
        <w:t xml:space="preserve">Split into three businesses — Aerospace, Automation, and Advanced Materials (FT, Feb 2025).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Pearson (Cevian Capital, 12% stake): </w:t>
      </w:r>
      <w:r>
        <w:t xml:space="preserve">Argued several businesses had not delivered on their potential; pushed for a listing move from London to New York.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Siemens Energy (Ananym Capital): </w:t>
      </w:r>
      <w:r>
        <w:t xml:space="preserve">Campaign to split the Wind business from Gas Turbine and Grid Power.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Vivendi: </w:t>
      </w:r>
      <w:r>
        <w:t xml:space="preserve">Conglomerate discount of ~40%. Proposed split of Canal+ and Havas from the holding company. Sum-of-the-parts analysis suggested significant value unlock potential.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ExxonMobil (Engine No. 1): </w:t>
      </w:r>
      <w:r>
        <w:t xml:space="preserve">Small activist with ~$40–50m investment elected 3 of 4 dissident directors to the Exxon board (May 2021), with support from Vanguard and BlackRock. Demanded reduced capital allocation to fossil fuels.</w:t>
      </w:r>
    </w:p>
    <w:p>
      <w:pPr>
        <w:spacing w:after="160"/>
      </w:pPr>
    </w:p>
    <w:p>
      <w:pPr>
        <w:pStyle w:val="Heading3"/>
      </w:pPr>
      <w:r>
        <w:t xml:space="preserve">International Activism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Activism is more frequent than hostile takeovers </w:t>
      </w:r>
      <w:r>
        <w:t xml:space="preserve">in most jurisdictions (per 1,000 listed firms). North America leads (11.7 engagements/1,000 firms), followed by Europe (3.4) and Asia (3.2).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Japan: </w:t>
      </w:r>
      <w:r>
        <w:t xml:space="preserve">Shareholder activism has surged — from 4 firms targeted in 2014 to 74 in 2025 (IR Japan, 2025). Key case: Toshiba — Effissimo Capital (9.9%) voted against management; CVC Capital Partners bid $20bn to take the company private; ultimately taken private in 2023 by a Japanese consortium (Japan Industrial Partners) for $13.4bn.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Italy: </w:t>
      </w:r>
      <w:r>
        <w:t xml:space="preserve">Active for activism — perception of weak governance, weakened controlling shareholders post-2008 crisis, growing foreign investor presence (~20% in top 100 firms). Elliott succeeded in a proxy fight at Telecom Italia (where Vivendi held 23.9%) to elect independent board directors.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China: </w:t>
      </w:r>
      <w:r>
        <w:t xml:space="preserve">23 activist cases in 2023 (vs 3 in 2007). 57% success rate. Some activists are state-controlled companies. One anonymous online investor ('Legend of the Red Scarf') forced an SOE to pay a dividend after 10 years of zero payouts.</w:t>
      </w:r>
    </w:p>
    <w:p>
      <w:pPr>
        <w:spacing w:after="160"/>
      </w:pPr>
    </w:p>
    <w:p>
      <w:pPr>
        <w:pStyle w:val="Heading1"/>
      </w:pPr>
      <w:r>
        <w:t xml:space="preserve">4. Typical Engagement Timeline</w:t>
      </w:r>
    </w:p>
    <w:p>
      <w:pPr>
        <w:spacing w:after="80"/>
      </w:pPr>
      <w:r>
        <w:t xml:space="preserve">The engagement follows a standard sequence: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Point 1 — Engagement assumed to start: </w:t>
      </w:r>
      <w:r>
        <w:t xml:space="preserve">Activist begins building the stake covertly; extensive pre-investment research.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Point 2 — Block disclosure: </w:t>
      </w:r>
      <w:r>
        <w:t xml:space="preserve">Regulatory (or voluntary) public disclosure of the stake. Share price reaction is measured here (~6% abnormal return at announcement).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Point 3 — Engagement outcomes: </w:t>
      </w:r>
      <w:r>
        <w:t xml:space="preserve">Board change, restructuring, takeover, payout, or multiple outcomes. Multiple price-sensitive events may occur during this window.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Point 4 — Block sold: </w:t>
      </w:r>
      <w:r>
        <w:t xml:space="preserve">Activist exits, typically reducing below the disclosure threshold. Exit timing signals completion of objectives.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Point 5 — Engagement assumed to end.</w:t>
      </w:r>
    </w:p>
    <w:p>
      <w:pPr>
        <w:spacing w:after="80"/>
      </w:pPr>
    </w:p>
    <w:p>
      <w:pPr>
        <w:spacing w:after="80"/>
      </w:pPr>
      <w:r>
        <w:rPr>
          <w:b/>
          <w:bCs/>
        </w:rPr>
        <w:t xml:space="preserve">Average holding periods: </w:t>
      </w:r>
      <w:r>
        <w:t xml:space="preserve">~2 years in Asia; 4–6 years in Europe (Cevian prefers long-term board representation). Substantial variation across engagements.</w:t>
      </w:r>
    </w:p>
    <w:p>
      <w:pPr>
        <w:spacing w:after="160"/>
      </w:pPr>
    </w:p>
    <w:p>
      <w:pPr>
        <w:pStyle w:val="Heading1"/>
      </w:pPr>
      <w:r>
        <w:t xml:space="preserve">5. Performance: Does Activism Create Value?</w:t>
      </w:r>
    </w:p>
    <w:p>
      <w:pPr>
        <w:pStyle w:val="Heading3"/>
      </w:pPr>
      <w:r>
        <w:t xml:space="preserve">Announcement Returns</w:t>
      </w:r>
    </w:p>
    <w:p>
      <w:pPr>
        <w:pStyle w:val="ListParagraph"/>
        <w:numPr>
          <w:ilvl w:val="0"/>
          <w:numId w:val="2"/>
        </w:numPr>
      </w:pPr>
      <w:r>
        <w:t xml:space="preserve">Average cumulative abnormal return of ~6% around the initial activist stake disclosure (market-model adjusted, event window −20 to +20 days).</w:t>
      </w:r>
    </w:p>
    <w:p>
      <w:pPr>
        <w:pStyle w:val="ListParagraph"/>
        <w:numPr>
          <w:ilvl w:val="0"/>
          <w:numId w:val="2"/>
        </w:numPr>
      </w:pPr>
      <w:r>
        <w:t xml:space="preserve">Large abnormal returns observed across all regions (Asia, Europe, North America).</w:t>
      </w:r>
    </w:p>
    <w:p>
      <w:pPr>
        <w:spacing w:after="120"/>
      </w:pPr>
    </w:p>
    <w:p>
      <w:pPr>
        <w:pStyle w:val="Heading3"/>
      </w:pPr>
      <w:r>
        <w:t xml:space="preserve">Engagement Outcome Returns</w:t>
      </w:r>
    </w:p>
    <w:p>
      <w:pPr>
        <w:spacing w:after="80"/>
      </w:pPr>
      <w:r>
        <w:t xml:space="preserve">Share price reaction around engagement outcome announcements (event windows −10/+10 and −20/+20 days):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All outcomes: </w:t>
      </w:r>
      <w:r>
        <w:t xml:space="preserve">~6.3–6.4% average abnormal return (statistically significant).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Board change: </w:t>
      </w:r>
      <w:r>
        <w:t xml:space="preserve">~4.0–4.5%.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Restructuring: </w:t>
      </w:r>
      <w:r>
        <w:t xml:space="preserve">~5.6–5.7%.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Takeover: </w:t>
      </w:r>
      <w:r>
        <w:t xml:space="preserve">~9.3–9.7%.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Multiple outcomes + Takeover: </w:t>
      </w:r>
      <w:r>
        <w:t xml:space="preserve">~18.1–18.3% — highest return category.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Payout only: </w:t>
      </w:r>
      <w:r>
        <w:t xml:space="preserve">~0.2% to −1.4% — lowest, often not significant. Suggests markets do not reward financial engineering in isolation.</w:t>
      </w:r>
    </w:p>
    <w:p>
      <w:pPr>
        <w:spacing w:after="120"/>
      </w:pPr>
    </w:p>
    <w:p>
      <w:pPr>
        <w:pStyle w:val="Heading3"/>
      </w:pPr>
      <w:r>
        <w:t xml:space="preserve">Long-Term Alpha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With outcomes: </w:t>
      </w:r>
      <w:r>
        <w:t xml:space="preserve">Significant annualised alpha (market-model ~8.4%, value-weighted ~11.3%) over the full engagement holding period.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Without outcomes: </w:t>
      </w:r>
      <w:r>
        <w:t xml:space="preserve">No significant alpha, or negative alpha (Carhart 4-factor: −9.75% equal-weighted). This is the critical finding — performance depends almost entirely on whether an outcome is achieved.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Long/Short spread: </w:t>
      </w:r>
      <w:r>
        <w:t xml:space="preserve">Engagements with outcomes outperform those without by ~10.9–13.9% (annualised, equal-weighted).</w:t>
      </w:r>
    </w:p>
    <w:p>
      <w:pPr>
        <w:spacing w:after="160"/>
      </w:pPr>
    </w:p>
    <w:p>
      <w:pPr>
        <w:pStyle w:val="Heading3"/>
      </w:pPr>
      <w:r>
        <w:t xml:space="preserve">Wolf Packs</w:t>
      </w:r>
    </w:p>
    <w:p>
      <w:pPr>
        <w:pStyle w:val="ListParagraph"/>
        <w:numPr>
          <w:ilvl w:val="0"/>
          <w:numId w:val="2"/>
        </w:numPr>
      </w:pPr>
      <w:r>
        <w:t xml:space="preserve">Multiple activists holding stakes in the same target — known as a 'wolf pack'.</w:t>
      </w:r>
    </w:p>
    <w:p>
      <w:pPr>
        <w:pStyle w:val="ListParagraph"/>
        <w:numPr>
          <w:ilvl w:val="0"/>
          <w:numId w:val="2"/>
        </w:numPr>
      </w:pPr>
      <w:r>
        <w:t xml:space="preserve">Wolf packs control larger aggregate stakes (13.4% vs 8.3% for solo engagements), have higher probabilities of achieving an outcome, and generate higher announcement returns (~13.8% vs 6.3%).</w:t>
      </w:r>
    </w:p>
    <w:p>
      <w:pPr>
        <w:pStyle w:val="ListParagraph"/>
        <w:numPr>
          <w:ilvl w:val="0"/>
          <w:numId w:val="2"/>
        </w:numPr>
      </w:pPr>
      <w:r>
        <w:t xml:space="preserve">Coordination is subtle ('through howling' — public signalling without explicit communication). Formal coordination triggers SEC 'group' or European 'concert party' filing obligations, which requires combined reporting and restricts independent trading.</w:t>
      </w:r>
    </w:p>
    <w:p>
      <w:pPr>
        <w:spacing w:after="160"/>
      </w:pPr>
    </w:p>
    <w:p>
      <w:pPr>
        <w:pStyle w:val="Heading1"/>
      </w:pPr>
      <w:r>
        <w:t xml:space="preserve">6. Three Things Activist Hedge Funds Must Get Right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Value of the stake purchased: </w:t>
      </w:r>
      <w:r>
        <w:t xml:space="preserve">Assess whether the current share price embeds a significant discount to intrinsic value. The activist must identify and capture the alpha from that value arbitrage.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Value creation: </w:t>
      </w:r>
      <w:r>
        <w:t xml:space="preserve">Financial engineering (break-up, sale, PE takeover) or fundamental operational improvement (expanding margins, improving capital allocation, replacing management). The most durable alpha comes from operational change.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Influence situation: </w:t>
      </w:r>
      <w:r>
        <w:t xml:space="preserve">An art, not a science. Requires reading the rules, the people, the shareholders, the culture, and the company's objectives. Key factors: corporate governance rules (10% stake may give right to board seat in some jurisdictions); board composition (size, employee representation, independence); management tenure and ego; status of the CEO transition. Country-level culture matters — e.g. Swiss business culture (Zurich vs. Lugano) affects how a single board representative can operate.</w:t>
      </w:r>
    </w:p>
    <w:p>
      <w:pPr>
        <w:spacing w:after="160"/>
      </w:pPr>
    </w:p>
    <w:p>
      <w:pPr>
        <w:pStyle w:val="Heading1"/>
      </w:pPr>
      <w:r>
        <w:t xml:space="preserve">7. Criticisms and Controversies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Short-termism: </w:t>
      </w:r>
      <w:r>
        <w:t xml:space="preserve">Activist pressure may push management to prioritise short-term financial engineering over long-term investment.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Debtholder losses: </w:t>
      </w:r>
      <w:r>
        <w:t xml:space="preserve">Some evidence that value creation for equity holders comes partly at the expense of bondholders (wealth transfer effect).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Double-edged sword: </w:t>
      </w:r>
      <w:r>
        <w:t xml:space="preserve">An activist's confrontational reputation can be a strategic liability — companies may think twice about settling, wanting to avoid encouraging future campaigns.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Positive spillover: </w:t>
      </w:r>
      <w:r>
        <w:t xml:space="preserve">Companies with a high probability of being targeted proactively improve efficiency to deter activism — a broader governance benefit.</w:t>
      </w:r>
    </w:p>
    <w:p>
      <w:pPr>
        <w:spacing w:after="160"/>
      </w:pPr>
    </w:p>
    <w:p>
      <w:pPr>
        <w:pStyle w:val="Heading1"/>
      </w:pPr>
      <w:r>
        <w:t xml:space="preserve">8. How Should Companies Prepare for an Activist?</w:t>
      </w:r>
    </w:p>
    <w:p>
      <w:pPr>
        <w:pStyle w:val="ListParagraph"/>
        <w:numPr>
          <w:ilvl w:val="0"/>
          <w:numId w:val="2"/>
        </w:numPr>
      </w:pPr>
      <w:r>
        <w:t xml:space="preserve">Monitor and refresh the board proactively — avoid entrenchment.</w:t>
      </w:r>
    </w:p>
    <w:p>
      <w:pPr>
        <w:pStyle w:val="ListParagraph"/>
        <w:numPr>
          <w:ilvl w:val="0"/>
          <w:numId w:val="2"/>
        </w:numPr>
      </w:pPr>
      <w:r>
        <w:t xml:space="preserve">Analyse your own performance: is there a sum-of-the-parts discount? If so, address it before an activist does.</w:t>
      </w:r>
    </w:p>
    <w:p>
      <w:pPr>
        <w:pStyle w:val="ListParagraph"/>
        <w:numPr>
          <w:ilvl w:val="0"/>
          <w:numId w:val="2"/>
        </w:numPr>
      </w:pPr>
      <w:r>
        <w:t xml:space="preserve">Talk regularly to your shareholders — understand their concerns before they are mobilised by an outside party.</w:t>
      </w:r>
    </w:p>
    <w:p>
      <w:pPr>
        <w:pStyle w:val="ListParagraph"/>
        <w:numPr>
          <w:ilvl w:val="0"/>
          <w:numId w:val="2"/>
        </w:numPr>
      </w:pPr>
      <w:r>
        <w:t xml:space="preserve">Maintain an active succession plan for key executives.</w:t>
      </w:r>
    </w:p>
    <w:p>
      <w:pPr>
        <w:pStyle w:val="ListParagraph"/>
        <w:numPr>
          <w:ilvl w:val="0"/>
          <w:numId w:val="2"/>
        </w:numPr>
      </w:pPr>
      <w:r>
        <w:t xml:space="preserve">Promote director share ownership to align board incentives.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Poison pills: </w:t>
      </w:r>
      <w:r>
        <w:t xml:space="preserve">(e.g. supermajority shareholder approval if the board opposes a transaction) — available as a defensive mechanism but often unpopular with institutional shareholders.</w:t>
      </w:r>
    </w:p>
    <w:p>
      <w:pPr>
        <w:pStyle w:val="ListParagraph"/>
        <w:numPr>
          <w:ilvl w:val="0"/>
          <w:numId w:val="2"/>
        </w:numPr>
      </w:pPr>
      <w:r>
        <w:t xml:space="preserve">Reference: Cooley M&amp;A 2023 Activism in Review.</w:t>
      </w:r>
    </w:p>
    <w:p>
      <w:pPr>
        <w:spacing w:after="160"/>
      </w:pPr>
    </w:p>
    <w:p>
      <w:pPr>
        <w:pStyle w:val="Heading1"/>
      </w:pPr>
      <w:r>
        <w:t xml:space="preserve">9. Conclusions</w:t>
      </w:r>
    </w:p>
    <w:p>
      <w:pPr>
        <w:pStyle w:val="ListParagraph"/>
        <w:numPr>
          <w:ilvl w:val="0"/>
          <w:numId w:val="2"/>
        </w:numPr>
      </w:pPr>
      <w:r>
        <w:t xml:space="preserve">Activism has gone mainstream globally — evident across the US, Europe, Japan, and China.</w:t>
      </w:r>
    </w:p>
    <w:p>
      <w:pPr>
        <w:pStyle w:val="ListParagraph"/>
        <w:numPr>
          <w:ilvl w:val="0"/>
          <w:numId w:val="2"/>
        </w:numPr>
      </w:pPr>
      <w:r>
        <w:t xml:space="preserve">Activism broadly improves shareholder value, but performance crucially depends on outcomes — engagements that achieve concrete changes (board, restructuring, takeover) generate significant alpha; those without outcomes do not.</w:t>
      </w:r>
    </w:p>
    <w:p>
      <w:pPr>
        <w:pStyle w:val="ListParagraph"/>
        <w:numPr>
          <w:ilvl w:val="0"/>
          <w:numId w:val="2"/>
        </w:numPr>
      </w:pPr>
      <w:r>
        <w:t xml:space="preserve">Activists are partly displacing the market for corporate control (hostile takeovers): activism is now more frequent than hostile bids in most jurisdictions.</w:t>
      </w:r>
    </w:p>
    <w:p>
      <w:pPr>
        <w:pStyle w:val="ListParagraph"/>
        <w:numPr>
          <w:ilvl w:val="0"/>
          <w:numId w:val="2"/>
        </w:numPr>
      </w:pPr>
      <w:r>
        <w:t xml:space="preserve">Private activism is important but invisible — a large number of engagements that create value are never publicly disclosed.</w:t>
      </w:r>
    </w:p>
    <w:p>
      <w:pPr>
        <w:pStyle w:val="ListParagraph"/>
        <w:numPr>
          <w:ilvl w:val="0"/>
          <w:numId w:val="2"/>
        </w:numPr>
      </w:pPr>
      <w:r>
        <w:t xml:space="preserve">We cannot rely solely on activist hedge funds to provide governance discipline — they are costly, concentrated in liquid large-caps, and not a comprehensive substitute for active institutional engagement more broadly.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Calibri" w:cs="Calibri" w:eastAsia="Calibri" w:hAnsi="Calibri"/>
      <w:b/>
      <w:bCs/>
      <w:color w:val="2E509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Calibri" w:cs="Calibri" w:eastAsia="Calibri" w:hAnsi="Calibri"/>
      <w:b/>
      <w:bCs/>
      <w:color w:val="2E509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2026-03-20T09:12:33.067Z</dcterms:created>
  <dcterms:modified xsi:type="dcterms:W3CDTF">2026-03-20T09:12:33.068Z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