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Leveraged Buyouts and Private Equity</w:t>
      </w:r>
    </w:p>
    <w:p>
      <w:pPr>
        <w:spacing w:after="40"/>
        <w:jc w:val="center"/>
      </w:pPr>
      <w:r>
        <w:rPr>
          <w:rFonts w:ascii="Calibri" w:cs="Calibri" w:eastAsia="Calibri" w:hAnsi="Calibri"/>
          <w:color w:val="444444"/>
          <w:sz w:val="26"/>
          <w:szCs w:val="26"/>
        </w:rPr>
        <w:t xml:space="preserve">Week 9 — Class Notes</w:t>
      </w:r>
    </w:p>
    <w:p>
      <w:pPr>
        <w:spacing w:after="400"/>
        <w:jc w:val="center"/>
      </w:pPr>
      <w:r>
        <w:rPr>
          <w:rFonts w:ascii="Calibri" w:cs="Calibri" w:eastAsia="Calibri" w:hAnsi="Calibri"/>
          <w:i/>
          <w:iCs/>
          <w:color w:val="666666"/>
          <w:sz w:val="22"/>
          <w:szCs w:val="22"/>
        </w:rPr>
        <w:t xml:space="preserve">Professor Julian Franks  |  10 March 2026</w:t>
      </w:r>
    </w:p>
    <w:p>
      <w:pPr>
        <w:pStyle w:val="Heading1"/>
      </w:pPr>
      <w:r>
        <w:t xml:space="preserve">1. What Is Special About Private Equity?</w:t>
      </w:r>
    </w:p>
    <w:p>
      <w:pPr>
        <w:pStyle w:val="Heading2"/>
      </w:pPr>
      <w:r>
        <w:t xml:space="preserve">Overview</w:t>
      </w:r>
    </w:p>
    <w:p>
      <w:pPr>
        <w:spacing w:after="100"/>
      </w:pPr>
      <w:r>
        <w:t xml:space="preserve">PE is an alternative to trade sales, spin-offs, and carve-outs. It offers a distinct governance and ownership model compared to public markets.</w:t>
      </w:r>
    </w:p>
    <w:p>
      <w:pPr>
        <w:pStyle w:val="Heading3"/>
      </w:pPr>
      <w:r>
        <w:t xml:space="preserve">Fund Structure</w:t>
      </w:r>
    </w:p>
    <w:p>
      <w:pPr>
        <w:pStyle w:val="ListParagraph"/>
        <w:numPr>
          <w:ilvl w:val="0"/>
          <w:numId w:val="2"/>
        </w:numPr>
      </w:pPr>
      <w:r>
        <w:t xml:space="preserve">A PE vehicle is funded approximately 1/3 by equity from investors (Limited Partners, LPs) and 2/3 by debt.</w:t>
      </w:r>
    </w:p>
    <w:p>
      <w:pPr>
        <w:pStyle w:val="ListParagraph"/>
        <w:numPr>
          <w:ilvl w:val="0"/>
          <w:numId w:val="2"/>
        </w:numPr>
      </w:pPr>
      <w:r>
        <w:t xml:space="preserve">The General Partner (GP) acts as the fund manager — arranges debt financing, appoints the board of directors, and monitors portfolio companies.</w:t>
      </w:r>
    </w:p>
    <w:p>
      <w:pPr>
        <w:pStyle w:val="ListParagraph"/>
        <w:numPr>
          <w:ilvl w:val="0"/>
          <w:numId w:val="2"/>
        </w:numPr>
      </w:pPr>
      <w:r>
        <w:t xml:space="preserve">Debt instruments used include high-yield bonds ('junk debt'), mezzanine finance, second-lien loans, and Payment-in-Kind (PIK) instruments.</w:t>
      </w:r>
    </w:p>
    <w:p>
      <w:pPr>
        <w:pStyle w:val="ListParagraph"/>
        <w:numPr>
          <w:ilvl w:val="0"/>
          <w:numId w:val="2"/>
        </w:numPr>
      </w:pPr>
      <w:r>
        <w:rPr>
          <w:b/>
          <w:bCs/>
        </w:rPr>
        <w:t xml:space="preserve">PIK (Payment-in-Kind): </w:t>
      </w:r>
      <w:r>
        <w:t xml:space="preserve">Interest accrues rather than being paid in cash — riskier for the lender since cash is not received until maturity. Mean return to mezzanine (1984–2019): 11.7% (Preqin).</w:t>
      </w:r>
    </w:p>
    <w:p>
      <w:pPr>
        <w:spacing w:after="160"/>
      </w:pPr>
    </w:p>
    <w:p>
      <w:pPr>
        <w:pStyle w:val="Heading3"/>
      </w:pPr>
      <w:r>
        <w:t xml:space="preserve">Why Has PE Been Rising?</w:t>
      </w:r>
    </w:p>
    <w:p>
      <w:pPr>
        <w:pStyle w:val="ListParagraph"/>
        <w:numPr>
          <w:ilvl w:val="0"/>
          <w:numId w:val="3"/>
        </w:numPr>
      </w:pPr>
      <w:r>
        <w:t xml:space="preserve">PE can generate returns superior to public markets.</w:t>
      </w:r>
    </w:p>
    <w:p>
      <w:pPr>
        <w:pStyle w:val="ListParagraph"/>
        <w:numPr>
          <w:ilvl w:val="0"/>
          <w:numId w:val="3"/>
        </w:numPr>
      </w:pPr>
      <w:r>
        <w:t xml:space="preserve">Prolonged low interest rate environment reduced cost of debt financing.</w:t>
      </w:r>
    </w:p>
    <w:p>
      <w:pPr>
        <w:pStyle w:val="ListParagraph"/>
        <w:numPr>
          <w:ilvl w:val="0"/>
          <w:numId w:val="3"/>
        </w:numPr>
      </w:pPr>
      <w:r>
        <w:t xml:space="preserve">PE reduces agency costs inherent in dispersed public ownership (Jensen: 'The Eclipse of the Public Corporation').</w:t>
      </w:r>
    </w:p>
    <w:p>
      <w:pPr>
        <w:pStyle w:val="ListParagraph"/>
        <w:numPr>
          <w:ilvl w:val="0"/>
          <w:numId w:val="3"/>
        </w:numPr>
      </w:pPr>
      <w:r>
        <w:t xml:space="preserve">Taking companies private is a vehicle to improve governance and realign management incentives.</w:t>
      </w:r>
    </w:p>
    <w:p>
      <w:pPr>
        <w:spacing w:after="80"/>
      </w:pPr>
    </w:p>
    <w:p>
      <w:pPr>
        <w:spacing w:after="80"/>
      </w:pPr>
      <w:r>
        <w:rPr>
          <w:b/>
          <w:bCs/>
        </w:rPr>
        <w:t xml:space="preserve">Note: </w:t>
      </w:r>
      <w:r>
        <w:t xml:space="preserve">Alternatives to PE include shareholder activism and the market for corporate control (hostile takeovers).</w:t>
      </w:r>
    </w:p>
    <w:p>
      <w:pPr>
        <w:spacing w:after="160"/>
      </w:pPr>
    </w:p>
    <w:p>
      <w:pPr>
        <w:pStyle w:val="Heading3"/>
      </w:pPr>
      <w:r>
        <w:t xml:space="preserve">Three Reasons to Use High Leverage</w:t>
      </w:r>
    </w:p>
    <w:p>
      <w:pPr>
        <w:pStyle w:val="ListParagraph"/>
        <w:numPr>
          <w:ilvl w:val="0"/>
          <w:numId w:val="3"/>
        </w:numPr>
      </w:pPr>
      <w:r>
        <w:rPr>
          <w:b/>
          <w:bCs/>
        </w:rPr>
        <w:t xml:space="preserve">Incentive alignment: </w:t>
      </w:r>
      <w:r>
        <w:t xml:space="preserve">High leverage reduces free cash flow available to management, forcing profit maximisation (Jensen agency cost theory). Management is also granted an equity stake to align interests.</w:t>
      </w:r>
    </w:p>
    <w:p>
      <w:pPr>
        <w:pStyle w:val="ListParagraph"/>
        <w:numPr>
          <w:ilvl w:val="0"/>
          <w:numId w:val="3"/>
        </w:numPr>
      </w:pPr>
      <w:r>
        <w:rPr>
          <w:b/>
          <w:bCs/>
        </w:rPr>
        <w:t xml:space="preserve">Financial engineering: </w:t>
      </w:r>
      <w:r>
        <w:t xml:space="preserve">PE uses structured debt to optimise capital efficiency and manage the costs of high leverage.</w:t>
      </w:r>
    </w:p>
    <w:p>
      <w:pPr>
        <w:pStyle w:val="ListParagraph"/>
        <w:numPr>
          <w:ilvl w:val="0"/>
          <w:numId w:val="3"/>
        </w:numPr>
      </w:pPr>
      <w:r>
        <w:rPr>
          <w:b/>
          <w:bCs/>
        </w:rPr>
        <w:t xml:space="preserve">Tax shields: </w:t>
      </w:r>
      <w:r>
        <w:t xml:space="preserve">Interest payments are tax-deductible, reducing the effective cost of capital. Knauer et al. (2014): tax shields contributed ~20% of EV in 56 German LBOs. Jenkinson &amp; Stucke (2011): US incremental tax shields worth 8–11% of EV, representing 65–87% of the deal premium.</w:t>
      </w:r>
    </w:p>
    <w:p>
      <w:pPr>
        <w:spacing w:after="160"/>
      </w:pPr>
    </w:p>
    <w:p>
      <w:pPr>
        <w:pStyle w:val="Heading3"/>
      </w:pPr>
      <w:r>
        <w:t xml:space="preserve">Case Study: BAA (Ferrovial, Heathrow/Gatwick)</w:t>
      </w:r>
    </w:p>
    <w:p>
      <w:pPr>
        <w:pStyle w:val="ListParagraph"/>
        <w:numPr>
          <w:ilvl w:val="0"/>
          <w:numId w:val="2"/>
        </w:numPr>
      </w:pPr>
      <w:r>
        <w:t xml:space="preserve">Ferrovial took BAA private using a securitised SPV structure with &gt;80% leverage.</w:t>
      </w:r>
    </w:p>
    <w:p>
      <w:pPr>
        <w:pStyle w:val="ListParagraph"/>
        <w:numPr>
          <w:ilvl w:val="0"/>
          <w:numId w:val="2"/>
        </w:numPr>
      </w:pPr>
      <w:r>
        <w:t xml:space="preserve">Debt was secured by BAA's regulated revenues — a highly predictable, low-risk cash flow stream, making such high leverage feasible.</w:t>
      </w:r>
    </w:p>
    <w:p>
      <w:pPr>
        <w:pStyle w:val="ListParagraph"/>
        <w:numPr>
          <w:ilvl w:val="0"/>
          <w:numId w:val="2"/>
        </w:numPr>
      </w:pPr>
      <w:r>
        <w:t xml:space="preserve">Post-acquisition: paid dividends to equity, increased leverage, and closed the London head office to reduce overhead.</w:t>
      </w:r>
    </w:p>
    <w:p>
      <w:pPr>
        <w:spacing w:after="160"/>
      </w:pPr>
    </w:p>
    <w:p>
      <w:pPr>
        <w:pStyle w:val="Heading3"/>
      </w:pPr>
      <w:r>
        <w:t xml:space="preserve">Mispricing of Debt and Risk</w:t>
      </w:r>
    </w:p>
    <w:p>
      <w:pPr>
        <w:pStyle w:val="ListParagraph"/>
        <w:numPr>
          <w:ilvl w:val="0"/>
          <w:numId w:val="2"/>
        </w:numPr>
      </w:pPr>
      <w:r>
        <w:t xml:space="preserve">Apparent mispricing of debt should theoretically be arbitraged away, yet persisted through the credit boom of the early 2000s until Summer 2007.</w:t>
      </w:r>
    </w:p>
    <w:p>
      <w:pPr>
        <w:pStyle w:val="ListParagraph"/>
        <w:numPr>
          <w:ilvl w:val="0"/>
          <w:numId w:val="2"/>
        </w:numPr>
      </w:pPr>
      <w:r>
        <w:t xml:space="preserve">Hallmarks of the bubble: record lending multiples, falling interest rates despite rising leverage, and covenant-lite loans.</w:t>
      </w:r>
    </w:p>
    <w:p>
      <w:pPr>
        <w:pStyle w:val="ListParagraph"/>
        <w:numPr>
          <w:ilvl w:val="0"/>
          <w:numId w:val="2"/>
        </w:numPr>
      </w:pPr>
      <w:r>
        <w:rPr>
          <w:b/>
          <w:bCs/>
        </w:rPr>
        <w:t xml:space="preserve">Terra Firma / EMI case: </w:t>
      </w:r>
      <w:r>
        <w:t xml:space="preserve">Citibank underwrote a £4.2bn loan for Terra Firma's acquisition of EMI. Financial crisis hit; other banks refused to take syndicated portions. Citibank absorbed the full loss (~$2bn upon default). Illustrates the dangers of over-reliance on cheap financing and overly optimistic projections.</w:t>
      </w:r>
    </w:p>
    <w:p>
      <w:pPr>
        <w:spacing w:after="160"/>
      </w:pPr>
    </w:p>
    <w:p>
      <w:pPr>
        <w:pStyle w:val="Heading1"/>
      </w:pPr>
      <w:r>
        <w:t xml:space="preserve">2. Structure of a Deal and Pricing</w:t>
      </w:r>
    </w:p>
    <w:p>
      <w:pPr>
        <w:pStyle w:val="Heading3"/>
      </w:pPr>
      <w:r>
        <w:t xml:space="preserve">Typical Buyout: Kwik-Fit Acquired by PAI Partners (August 2005)</w:t>
      </w:r>
    </w:p>
    <w:p>
      <w:pPr>
        <w:spacing w:after="80"/>
      </w:pPr>
      <w:r>
        <w:t xml:space="preserve">Enterprise Value: £773.5m = 8.1× EBITDA (EBITDA ≈ £95m)</w:t>
      </w:r>
    </w:p>
    <w:p>
      <w:pPr>
        <w:pStyle w:val="ListParagraph"/>
        <w:numPr>
          <w:ilvl w:val="0"/>
          <w:numId w:val="2"/>
        </w:numPr>
      </w:pPr>
      <w:r>
        <w:rPr>
          <w:b/>
          <w:bCs/>
        </w:rPr>
        <w:t xml:space="preserve">Equity: </w:t>
      </w:r>
      <w:r>
        <w:t xml:space="preserve">£191m (25% of EV)</w:t>
      </w:r>
    </w:p>
    <w:p>
      <w:pPr>
        <w:pStyle w:val="ListParagraph"/>
        <w:numPr>
          <w:ilvl w:val="0"/>
          <w:numId w:val="2"/>
        </w:numPr>
      </w:pPr>
      <w:r>
        <w:rPr>
          <w:b/>
          <w:bCs/>
        </w:rPr>
        <w:t xml:space="preserve">Total Senior Debt: </w:t>
      </w:r>
      <w:r>
        <w:t xml:space="preserve">£410m across three term loans (TLA 7yr amortising @ LIBOR+2.25%; TLB 8yr bullet @ +2.50%; TLC 9yr bullet @ +3.00%)</w:t>
      </w:r>
    </w:p>
    <w:p>
      <w:pPr>
        <w:pStyle w:val="ListParagraph"/>
        <w:numPr>
          <w:ilvl w:val="0"/>
          <w:numId w:val="2"/>
        </w:numPr>
      </w:pPr>
      <w:r>
        <w:rPr>
          <w:b/>
          <w:bCs/>
        </w:rPr>
        <w:t xml:space="preserve">2nd Lien: </w:t>
      </w:r>
      <w:r>
        <w:t xml:space="preserve">£75m @ LIBOR+5.00% — second charge on assets; recovers only if residual proceeds remain after senior debt.</w:t>
      </w:r>
    </w:p>
    <w:p>
      <w:pPr>
        <w:pStyle w:val="ListParagraph"/>
        <w:numPr>
          <w:ilvl w:val="0"/>
          <w:numId w:val="2"/>
        </w:numPr>
      </w:pPr>
      <w:r>
        <w:rPr>
          <w:b/>
          <w:bCs/>
        </w:rPr>
        <w:t xml:space="preserve">Mezzanine: </w:t>
      </w:r>
      <w:r>
        <w:t xml:space="preserve">£97.5m @ 4.5% cash + 5% PIK (interest accrues, not paid in cash).</w:t>
      </w:r>
    </w:p>
    <w:p>
      <w:pPr>
        <w:pStyle w:val="ListParagraph"/>
        <w:numPr>
          <w:ilvl w:val="0"/>
          <w:numId w:val="2"/>
        </w:numPr>
      </w:pPr>
      <w:r>
        <w:rPr>
          <w:b/>
          <w:bCs/>
        </w:rPr>
        <w:t xml:space="preserve">Total Debt: </w:t>
      </w:r>
      <w:r>
        <w:t xml:space="preserve">£582.5m (75% of EV); leverage = 6.1× EBITDA.</w:t>
      </w:r>
    </w:p>
    <w:p>
      <w:pPr>
        <w:spacing w:after="80"/>
      </w:pPr>
    </w:p>
    <w:p>
      <w:pPr>
        <w:spacing w:after="80"/>
      </w:pPr>
      <w:r>
        <w:rPr>
          <w:b/>
          <w:bCs/>
        </w:rPr>
        <w:t xml:space="preserve">Key point — seniority has multiple dimensions: </w:t>
      </w:r>
      <w:r>
        <w:t xml:space="preserve">maturity (bullet vs. amortising) and repayment profile. Bullet loans are riskier than amortising loans and therefore carry higher spreads. All loans of equal seniority rank pari passu on claims in bankruptcy.</w:t>
      </w:r>
    </w:p>
    <w:p>
      <w:pPr>
        <w:spacing w:after="160"/>
      </w:pPr>
    </w:p>
    <w:p>
      <w:pPr>
        <w:pStyle w:val="Heading3"/>
      </w:pPr>
      <w:r>
        <w:t xml:space="preserve">Valuation Multiples in LBO Transactions</w:t>
      </w:r>
    </w:p>
    <w:p>
      <w:pPr>
        <w:spacing w:after="80"/>
      </w:pPr>
      <w:r>
        <w:t xml:space="preserve">Valuations and leverage are typically expressed as multiples of normalised EBITDA (LTM, pro-forma, or forecast):</w:t>
      </w:r>
    </w:p>
    <w:p>
      <w:pPr>
        <w:pStyle w:val="ListParagraph"/>
        <w:numPr>
          <w:ilvl w:val="0"/>
          <w:numId w:val="2"/>
        </w:numPr>
      </w:pPr>
      <w:r>
        <w:t xml:space="preserve">EV / EBITDA = EV ÷ LTM EBITDA</w:t>
      </w:r>
    </w:p>
    <w:p>
      <w:pPr>
        <w:pStyle w:val="ListParagraph"/>
        <w:numPr>
          <w:ilvl w:val="0"/>
          <w:numId w:val="2"/>
        </w:numPr>
      </w:pPr>
      <w:r>
        <w:t xml:space="preserve">EV / (EBITDA − Capex) — proxy for unlevered free cash flow</w:t>
      </w:r>
    </w:p>
    <w:p>
      <w:pPr>
        <w:pStyle w:val="ListParagraph"/>
        <w:numPr>
          <w:ilvl w:val="0"/>
          <w:numId w:val="2"/>
        </w:numPr>
      </w:pPr>
      <w:r>
        <w:t xml:space="preserve">EV / EBIT = EV ÷ LTM EBIT</w:t>
      </w:r>
    </w:p>
    <w:p>
      <w:pPr>
        <w:spacing w:after="80"/>
      </w:pPr>
    </w:p>
    <w:p>
      <w:pPr>
        <w:spacing w:after="160"/>
      </w:pPr>
      <w:r>
        <w:t xml:space="preserve">Although DCF analysis is used, the buy-to-sell nature of PE deals places particular emphasis on exit multiples and market-based valuations.</w:t>
      </w:r>
    </w:p>
    <w:p>
      <w:pPr>
        <w:pStyle w:val="Heading3"/>
      </w:pPr>
      <w:r>
        <w:t xml:space="preserve">Illustrative LBO: ACME Inc.</w:t>
      </w:r>
    </w:p>
    <w:p>
      <w:pPr>
        <w:spacing w:after="80"/>
      </w:pPr>
      <w:r>
        <w:rPr>
          <w:b/>
          <w:bCs/>
        </w:rPr>
        <w:t xml:space="preserve">Entry assumptions: </w:t>
      </w:r>
      <w:r>
        <w:t xml:space="preserve">Net debt $400, equity purchase price $600, EV = $1,000 (8.0× LTM EBITDA of $125). D&amp;A/Capex margin 10%, tax rate 35%. Holding period 6 years, EBITDA CAGR 3.1%, exit at 10.0× EBITDA.</w:t>
      </w:r>
    </w:p>
    <w:p>
      <w:pPr>
        <w:spacing w:after="80"/>
      </w:pPr>
      <w:r>
        <w:rPr>
          <w:b/>
          <w:bCs/>
        </w:rPr>
        <w:t xml:space="preserve">Financing: </w:t>
      </w:r>
      <w:r>
        <w:t xml:space="preserve">Senior debt $400 (3.2× EBITDA) at 4.4% interest — amortised from annual net earnings. Junior debt $300 (2.4×) at 8.0% — bullet repayment.</w:t>
      </w:r>
    </w:p>
    <w:p>
      <w:pPr>
        <w:spacing w:after="80"/>
      </w:pPr>
      <w:r>
        <w:rPr>
          <w:b/>
          <w:bCs/>
        </w:rPr>
        <w:t xml:space="preserve">Exit (Year 6): </w:t>
      </w:r>
      <w:r>
        <w:t xml:space="preserve">Enterprise Value = 10× $150.1 = $1,501. Debt outstanding = ~$350. Equity Value = $1,501 − $350 = ~$1,151.</w:t>
      </w:r>
    </w:p>
    <w:p>
      <w:pPr>
        <w:spacing w:after="80"/>
      </w:pPr>
      <w:r>
        <w:rPr>
          <w:b/>
          <w:bCs/>
        </w:rPr>
        <w:t xml:space="preserve">Equity calculation: </w:t>
      </w:r>
      <w:r>
        <w:t xml:space="preserve">Equity Value = EV − Senior Debt − Junior Debt = $1,500 − $50 − $300 = $1,150</w:t>
      </w:r>
    </w:p>
    <w:p>
      <w:pPr>
        <w:spacing w:after="80"/>
      </w:pPr>
      <w:r>
        <w:rPr>
          <w:b/>
          <w:bCs/>
        </w:rPr>
        <w:t xml:space="preserve">Discussion point: </w:t>
      </w:r>
      <w:r>
        <w:t xml:space="preserve">If earnings outperform expectations, shareholders can: (1) repay senior debt faster, reducing interest costs; (2) renegotiate loan terms and extract dividends; (3) refinance the SPV at lower rates (if EV has increased).</w:t>
      </w:r>
    </w:p>
    <w:p>
      <w:pPr>
        <w:spacing w:after="160"/>
      </w:pPr>
    </w:p>
    <w:p>
      <w:pPr>
        <w:pStyle w:val="Heading1"/>
      </w:pPr>
      <w:r>
        <w:t xml:space="preserve">3. Assessing Profitability: APV vs. WACC</w:t>
      </w:r>
    </w:p>
    <w:p>
      <w:pPr>
        <w:pStyle w:val="Heading3"/>
      </w:pPr>
      <w:r>
        <w:t xml:space="preserve">Why Standard WACC Is Problematic in LBOs</w:t>
      </w:r>
    </w:p>
    <w:p>
      <w:pPr>
        <w:pStyle w:val="ListParagraph"/>
        <w:numPr>
          <w:ilvl w:val="0"/>
          <w:numId w:val="2"/>
        </w:numPr>
      </w:pPr>
      <w:r>
        <w:t xml:space="preserve">In an LBO, leverage changes every year as senior debt is amortised — meaning the debt-to-value ratio is not constant.</w:t>
      </w:r>
    </w:p>
    <w:p>
      <w:pPr>
        <w:pStyle w:val="ListParagraph"/>
        <w:numPr>
          <w:ilvl w:val="0"/>
          <w:numId w:val="2"/>
        </w:numPr>
      </w:pPr>
      <w:r>
        <w:t xml:space="preserve">A standard (textbook) WACC assumes a constant leverage ratio. Applying it to a changing capital structure introduces error.</w:t>
      </w:r>
    </w:p>
    <w:p>
      <w:pPr>
        <w:pStyle w:val="ListParagraph"/>
        <w:numPr>
          <w:ilvl w:val="0"/>
          <w:numId w:val="2"/>
        </w:numPr>
      </w:pPr>
      <w:r>
        <w:t xml:space="preserve">Similarly, using the levered cost of equity or equity IRR as the discount rate is complicated when leverage is shifting.</w:t>
      </w:r>
    </w:p>
    <w:p>
      <w:pPr>
        <w:spacing w:after="160"/>
      </w:pPr>
    </w:p>
    <w:p>
      <w:pPr>
        <w:pStyle w:val="Heading3"/>
      </w:pPr>
      <w:r>
        <w:t xml:space="preserve">Three Benchmarks for Profitability</w:t>
      </w:r>
    </w:p>
    <w:p>
      <w:pPr>
        <w:pStyle w:val="ListParagraph"/>
        <w:numPr>
          <w:ilvl w:val="0"/>
          <w:numId w:val="3"/>
        </w:numPr>
      </w:pPr>
      <w:r>
        <w:rPr>
          <w:b/>
          <w:bCs/>
        </w:rPr>
        <w:t xml:space="preserve">Enterprise IRR vs. WACC: </w:t>
      </w:r>
      <w:r>
        <w:t xml:space="preserve">Problematic because WACC changes each period as leverage changes.</w:t>
      </w:r>
    </w:p>
    <w:p>
      <w:pPr>
        <w:pStyle w:val="ListParagraph"/>
        <w:numPr>
          <w:ilvl w:val="0"/>
          <w:numId w:val="3"/>
        </w:numPr>
      </w:pPr>
      <w:r>
        <w:rPr>
          <w:b/>
          <w:bCs/>
        </w:rPr>
        <w:t xml:space="preserve">Equity IRR vs. Levered Cost of Equity: </w:t>
      </w:r>
      <w:r>
        <w:t xml:space="preserve">Also problematic — levered cost of equity shifts with changing leverage.</w:t>
      </w:r>
    </w:p>
    <w:p>
      <w:pPr>
        <w:pStyle w:val="ListParagraph"/>
        <w:numPr>
          <w:ilvl w:val="0"/>
          <w:numId w:val="3"/>
        </w:numPr>
      </w:pPr>
      <w:r>
        <w:rPr>
          <w:b/>
          <w:bCs/>
        </w:rPr>
        <w:t xml:space="preserve">Adjusted Present Value (APV) — preferred method: </w:t>
      </w:r>
      <w:r>
        <w:t xml:space="preserve">Separates the value of the unlevered firm from the present value of tax shields. Avoids the iterative leverage problem.</w:t>
      </w:r>
    </w:p>
    <w:p>
      <w:pPr>
        <w:spacing w:after="160"/>
      </w:pPr>
    </w:p>
    <w:p>
      <w:pPr>
        <w:pStyle w:val="Heading3"/>
      </w:pPr>
      <w:r>
        <w:t xml:space="preserve">APV Methodology (Step-by-Step)</w:t>
      </w:r>
    </w:p>
    <w:p>
      <w:pPr>
        <w:pStyle w:val="ListParagraph"/>
        <w:numPr>
          <w:ilvl w:val="0"/>
          <w:numId w:val="3"/>
        </w:numPr>
      </w:pPr>
      <w:r>
        <w:rPr>
          <w:b/>
          <w:bCs/>
        </w:rPr>
        <w:t xml:space="preserve">Step 1 — Value the unlevered firm: </w:t>
      </w:r>
      <w:r>
        <w:t xml:space="preserve">Calculate unlevered free cash flows (EBIT × (1 − tax rate)) and discount at the unlevered cost of capital (Ra).</w:t>
      </w:r>
    </w:p>
    <w:p>
      <w:pPr>
        <w:pStyle w:val="ListParagraph"/>
        <w:numPr>
          <w:ilvl w:val="0"/>
          <w:numId w:val="3"/>
        </w:numPr>
      </w:pPr>
      <w:r>
        <w:rPr>
          <w:b/>
          <w:bCs/>
        </w:rPr>
        <w:t xml:space="preserve">Step 2 — Value the tax shield: </w:t>
      </w:r>
      <w:r>
        <w:t xml:space="preserve">PV of (interest payments × tax rate), discounted at the appropriate rate.</w:t>
      </w:r>
    </w:p>
    <w:p>
      <w:pPr>
        <w:pStyle w:val="ListParagraph"/>
        <w:numPr>
          <w:ilvl w:val="0"/>
          <w:numId w:val="3"/>
        </w:numPr>
      </w:pPr>
      <w:r>
        <w:rPr>
          <w:b/>
          <w:bCs/>
        </w:rPr>
        <w:t xml:space="preserve">Step 3: </w:t>
      </w:r>
      <w:r>
        <w:t xml:space="preserve">APV = Unlevered firm value + PV of tax shield.</w:t>
      </w:r>
    </w:p>
    <w:p>
      <w:pPr>
        <w:spacing w:after="80"/>
      </w:pPr>
    </w:p>
    <w:p>
      <w:pPr>
        <w:spacing w:after="80"/>
      </w:pPr>
      <w:r>
        <w:rPr>
          <w:b/>
          <w:bCs/>
        </w:rPr>
        <w:t xml:space="preserve">ACME example: </w:t>
      </w:r>
      <w:r>
        <w:t xml:space="preserve">Ra = 10%. Unlevered CF Year 1 = $115.99 × (1−0.35) = $75.39. Unlevered EV (incl. terminal) = $199.32. PV of tax shield = $60.84. APV = $260.16.</w:t>
      </w:r>
    </w:p>
    <w:p>
      <w:pPr>
        <w:spacing w:after="160"/>
      </w:pPr>
    </w:p>
    <w:p>
      <w:pPr>
        <w:pStyle w:val="Heading3"/>
      </w:pPr>
      <w:r>
        <w:t xml:space="preserve">When APV ≠ Textbook WACC</w:t>
      </w:r>
    </w:p>
    <w:p>
      <w:pPr>
        <w:pStyle w:val="ListParagraph"/>
        <w:numPr>
          <w:ilvl w:val="0"/>
          <w:numId w:val="2"/>
        </w:numPr>
      </w:pPr>
      <w:r>
        <w:rPr>
          <w:b/>
          <w:bCs/>
        </w:rPr>
        <w:t xml:space="preserve">Textbook WACC: </w:t>
      </w:r>
      <w:r>
        <w:t xml:space="preserve">Assumes tax shields are discounted at the unlevered cost of capital (Ra). Implies leverage is re-set each period as a constant % of firm value — riskiness of tax shields mirrors the riskiness of assets.</w:t>
      </w:r>
    </w:p>
    <w:p>
      <w:pPr>
        <w:pStyle w:val="ListParagraph"/>
        <w:numPr>
          <w:ilvl w:val="0"/>
          <w:numId w:val="2"/>
        </w:numPr>
      </w:pPr>
      <w:r>
        <w:rPr>
          <w:b/>
          <w:bCs/>
        </w:rPr>
        <w:t xml:space="preserve">APV with cost of debt: </w:t>
      </w:r>
      <w:r>
        <w:t xml:space="preserve">When debt is fixed in dollar terms (not a % of value), tax shields are less risky. Use cost of debt (Rd) to discount them. This gives a higher PV of tax shields → APV &gt; WACC value.</w:t>
      </w:r>
    </w:p>
    <w:p>
      <w:pPr>
        <w:pStyle w:val="ListParagraph"/>
        <w:numPr>
          <w:ilvl w:val="0"/>
          <w:numId w:val="2"/>
        </w:numPr>
      </w:pPr>
      <w:r>
        <w:rPr>
          <w:b/>
          <w:bCs/>
        </w:rPr>
        <w:t xml:space="preserve">MM WACC (Modigliani-Miller): </w:t>
      </w:r>
      <w:r>
        <w:t xml:space="preserve">WACC(MM) = Ra × (1 − Tc × D/V). Uses a different beta-levering formula: βe = βa + (1−Tc)(βa − βd) × D/E. Consistent with fixed-dollar debt.</w:t>
      </w:r>
    </w:p>
    <w:p>
      <w:pPr>
        <w:spacing w:after="80"/>
      </w:pPr>
    </w:p>
    <w:p>
      <w:pPr>
        <w:spacing w:after="80"/>
      </w:pPr>
      <w:r>
        <w:rPr>
          <w:b/>
          <w:bCs/>
        </w:rPr>
        <w:t xml:space="preserve">Rule of thumb: </w:t>
      </w:r>
      <w:r>
        <w:t xml:space="preserve">Use cost of debt to discount tax shields when leverage is fixed in dollar terms (common in LBOs). Use Ra when debt tracks firm value (re-levering/de-levering as EV changes).</w:t>
      </w:r>
    </w:p>
    <w:p>
      <w:pPr>
        <w:spacing w:after="160"/>
      </w:pPr>
    </w:p>
    <w:p>
      <w:pPr>
        <w:pStyle w:val="Heading1"/>
      </w:pPr>
      <w:r>
        <w:t xml:space="preserve">4. How Profitable Is Private Equity? (UK Study — Acharya &amp; Kehoe)</w:t>
      </w:r>
    </w:p>
    <w:p>
      <w:pPr>
        <w:pStyle w:val="Heading3"/>
      </w:pPr>
      <w:r>
        <w:t xml:space="preserve">Dataset</w:t>
      </w:r>
    </w:p>
    <w:p>
      <w:pPr>
        <w:pStyle w:val="ListParagraph"/>
        <w:numPr>
          <w:ilvl w:val="0"/>
          <w:numId w:val="2"/>
        </w:numPr>
      </w:pPr>
      <w:r>
        <w:t xml:space="preserve">66 UK deals from 12 large, mature PE houses — acquired 1996–2004, exited 2000–2007.</w:t>
      </w:r>
    </w:p>
    <w:p>
      <w:pPr>
        <w:pStyle w:val="ListParagraph"/>
        <w:numPr>
          <w:ilvl w:val="0"/>
          <w:numId w:val="2"/>
        </w:numPr>
      </w:pPr>
      <w:r>
        <w:t xml:space="preserve">Median EV at entry ~€471m. Average holding period 3.8 years.</w:t>
      </w:r>
    </w:p>
    <w:p>
      <w:pPr>
        <w:pStyle w:val="ListParagraph"/>
        <w:numPr>
          <w:ilvl w:val="0"/>
          <w:numId w:val="2"/>
        </w:numPr>
      </w:pPr>
      <w:r>
        <w:t xml:space="preserve">29 deals involved acquisitions/divestments (inorganic); 37 were purely organic.</w:t>
      </w:r>
    </w:p>
    <w:p>
      <w:pPr>
        <w:spacing w:after="160"/>
      </w:pPr>
    </w:p>
    <w:p>
      <w:pPr>
        <w:pStyle w:val="Heading3"/>
      </w:pPr>
      <w:r>
        <w:t xml:space="preserve">Key Findings</w:t>
      </w:r>
    </w:p>
    <w:p>
      <w:pPr>
        <w:pStyle w:val="ListParagraph"/>
        <w:numPr>
          <w:ilvl w:val="0"/>
          <w:numId w:val="3"/>
        </w:numPr>
      </w:pPr>
      <w:r>
        <w:t xml:space="preserve">Total median IRR ~29–36%; alpha (abnormal return) ~7–9% above public market benchmark (~11%).</w:t>
      </w:r>
    </w:p>
    <w:p>
      <w:pPr>
        <w:pStyle w:val="ListParagraph"/>
        <w:numPr>
          <w:ilvl w:val="0"/>
          <w:numId w:val="3"/>
        </w:numPr>
      </w:pPr>
      <w:r>
        <w:t xml:space="preserve">Of total returns: ~11% attributable to leverage; ~7% is genuine alpha (operational outperformance).</w:t>
      </w:r>
    </w:p>
    <w:p>
      <w:pPr>
        <w:pStyle w:val="ListParagraph"/>
        <w:numPr>
          <w:ilvl w:val="0"/>
          <w:numId w:val="3"/>
        </w:numPr>
      </w:pPr>
      <w:r>
        <w:rPr>
          <w:b/>
          <w:bCs/>
        </w:rPr>
        <w:t xml:space="preserve">Organic deals outperform: </w:t>
      </w:r>
      <w:r>
        <w:t xml:space="preserve">Organic deals generate higher IRR and alpha than inorganic (acquisition-driven) deals. Divestment-driven deals underperform.</w:t>
      </w:r>
    </w:p>
    <w:p>
      <w:pPr>
        <w:pStyle w:val="ListParagraph"/>
        <w:numPr>
          <w:ilvl w:val="0"/>
          <w:numId w:val="3"/>
        </w:numPr>
      </w:pPr>
      <w:r>
        <w:t xml:space="preserve">Harris, Jenkinson &amp; Kaplan (2015): on 781 PE funds (1984–2005), LPs earned ~3%/year excess returns over public equity benchmarks.</w:t>
      </w:r>
    </w:p>
    <w:p>
      <w:pPr>
        <w:pStyle w:val="ListParagraph"/>
        <w:numPr>
          <w:ilvl w:val="0"/>
          <w:numId w:val="3"/>
        </w:numPr>
      </w:pPr>
      <w:r>
        <w:t xml:space="preserve">Outperformance has declined in recent years.</w:t>
      </w:r>
    </w:p>
    <w:p>
      <w:pPr>
        <w:spacing w:after="160"/>
      </w:pPr>
    </w:p>
    <w:p>
      <w:pPr>
        <w:pStyle w:val="Heading3"/>
      </w:pPr>
      <w:r>
        <w:t xml:space="preserve">Drivers of Alpha: Active Governance Model</w:t>
      </w:r>
    </w:p>
    <w:p>
      <w:pPr>
        <w:pStyle w:val="ListParagraph"/>
        <w:numPr>
          <w:ilvl w:val="0"/>
          <w:numId w:val="2"/>
        </w:numPr>
      </w:pPr>
      <w:r>
        <w:rPr>
          <w:b/>
          <w:bCs/>
        </w:rPr>
        <w:t xml:space="preserve">Proprietary deal insight: </w:t>
      </w:r>
      <w:r>
        <w:t xml:space="preserve">Leveraging privileged knowledge in sourcing.</w:t>
      </w:r>
    </w:p>
    <w:p>
      <w:pPr>
        <w:pStyle w:val="ListParagraph"/>
        <w:numPr>
          <w:ilvl w:val="0"/>
          <w:numId w:val="2"/>
        </w:numPr>
      </w:pPr>
      <w:r>
        <w:rPr>
          <w:b/>
          <w:bCs/>
        </w:rPr>
        <w:t xml:space="preserve">Value creation plan: </w:t>
      </w:r>
      <w:r>
        <w:t xml:space="preserve">Created before close, refined in the first 100 days, monitored continuously.</w:t>
      </w:r>
    </w:p>
    <w:p>
      <w:pPr>
        <w:pStyle w:val="ListParagraph"/>
        <w:numPr>
          <w:ilvl w:val="0"/>
          <w:numId w:val="2"/>
        </w:numPr>
      </w:pPr>
      <w:r>
        <w:rPr>
          <w:b/>
          <w:bCs/>
        </w:rPr>
        <w:t xml:space="preserve">Early management changes: </w:t>
      </w:r>
      <w:r>
        <w:t xml:space="preserve">High senior management turnover — often within the first 100 days. New team focused on margin improvement.</w:t>
      </w:r>
    </w:p>
    <w:p>
      <w:pPr>
        <w:pStyle w:val="ListParagraph"/>
        <w:numPr>
          <w:ilvl w:val="0"/>
          <w:numId w:val="2"/>
        </w:numPr>
      </w:pPr>
      <w:r>
        <w:rPr>
          <w:b/>
          <w:bCs/>
        </w:rPr>
        <w:t xml:space="preserve">Significant incentives: </w:t>
      </w:r>
      <w:r>
        <w:t xml:space="preserve">Very large equity stakes for top executives align interests with equity returns.</w:t>
      </w:r>
    </w:p>
    <w:p>
      <w:pPr>
        <w:pStyle w:val="ListParagraph"/>
        <w:numPr>
          <w:ilvl w:val="0"/>
          <w:numId w:val="2"/>
        </w:numPr>
      </w:pPr>
      <w:r>
        <w:rPr>
          <w:b/>
          <w:bCs/>
        </w:rPr>
        <w:t xml:space="preserve">GP involvement: </w:t>
      </w:r>
      <w:r>
        <w:t xml:space="preserve">PE partners spend &gt;1.5 days/week engaging with portfolio companies, especially in the first 100 days. Weekly meetings with CEO/CFO.</w:t>
      </w:r>
    </w:p>
    <w:p>
      <w:pPr>
        <w:pStyle w:val="ListParagraph"/>
        <w:numPr>
          <w:ilvl w:val="0"/>
          <w:numId w:val="2"/>
        </w:numPr>
      </w:pPr>
      <w:r>
        <w:rPr>
          <w:b/>
          <w:bCs/>
        </w:rPr>
        <w:t xml:space="preserve">Smaller, more engaged boards: </w:t>
      </w:r>
      <w:r>
        <w:t xml:space="preserve">Compared with listed company boards — more focused and active.</w:t>
      </w:r>
    </w:p>
    <w:p>
      <w:pPr>
        <w:pStyle w:val="ListParagraph"/>
        <w:numPr>
          <w:ilvl w:val="0"/>
          <w:numId w:val="2"/>
        </w:numPr>
      </w:pPr>
      <w:r>
        <w:rPr>
          <w:b/>
          <w:bCs/>
        </w:rPr>
        <w:t xml:space="preserve">Alpha correlates with margin growth: </w:t>
      </w:r>
      <w:r>
        <w:t xml:space="preserve">Deals with large alpha depend on EBITDA margin expansion, not just revenue growth.</w:t>
      </w:r>
    </w:p>
    <w:p>
      <w:pPr>
        <w:spacing w:after="160"/>
      </w:pPr>
    </w:p>
    <w:p>
      <w:pPr>
        <w:pStyle w:val="Heading1"/>
      </w:pPr>
      <w:r>
        <w:t xml:space="preserve">5. Market Context and Current State</w:t>
      </w:r>
    </w:p>
    <w:p>
      <w:pPr>
        <w:pStyle w:val="ListParagraph"/>
        <w:numPr>
          <w:ilvl w:val="0"/>
          <w:numId w:val="2"/>
        </w:numPr>
      </w:pPr>
      <w:r>
        <w:t xml:space="preserve">Rise of large direct lending funds (Ares, Alcentra) — important in the mid-market. Unitranche loans blend senior/junior into a single facility at a blended rate, reducing transaction costs.</w:t>
      </w:r>
    </w:p>
    <w:p>
      <w:pPr>
        <w:pStyle w:val="ListParagraph"/>
        <w:numPr>
          <w:ilvl w:val="0"/>
          <w:numId w:val="2"/>
        </w:numPr>
      </w:pPr>
      <w:r>
        <w:t xml:space="preserve">Typical deal multiples: 5.0–6.0× EBITDA. Rates: LIBOR + 6%; PIK finance 9–11%.</w:t>
      </w:r>
    </w:p>
    <w:p>
      <w:pPr>
        <w:pStyle w:val="ListParagraph"/>
        <w:numPr>
          <w:ilvl w:val="0"/>
          <w:numId w:val="2"/>
        </w:numPr>
      </w:pPr>
      <w:r>
        <w:t xml:space="preserve">Largest-ever MBO proposed: $58bn for Seven &amp; i Holdings (Japan, 2024) — did not proceed.</w:t>
      </w:r>
    </w:p>
    <w:p>
      <w:pPr>
        <w:pStyle w:val="ListParagraph"/>
        <w:numPr>
          <w:ilvl w:val="0"/>
          <w:numId w:val="2"/>
        </w:numPr>
      </w:pPr>
      <w:r>
        <w:t xml:space="preserve">2025: &gt;$1 trillion in PE deals globally (highest on record). Feb 2026: FT — 'Private equity backlog hits all-time high of $4 trillion in unsold investments.'</w:t>
      </w:r>
    </w:p>
    <w:p>
      <w:pPr>
        <w:pStyle w:val="ListParagraph"/>
        <w:numPr>
          <w:ilvl w:val="0"/>
          <w:numId w:val="2"/>
        </w:numPr>
      </w:pPr>
      <w:r>
        <w:t xml:space="preserve">Debt-to-EBITDA is the primary metric used to assess risk in leveraged financing. Historic range: 4–6× for large corporate LBO loans.</w:t>
      </w:r>
    </w:p>
    <w:p>
      <w:pPr>
        <w:spacing w:after="160"/>
      </w:pPr>
    </w:p>
    <w:p>
      <w:pPr>
        <w:pStyle w:val="Heading1"/>
      </w:pPr>
      <w:r>
        <w:t xml:space="preserve">6. Key Formulas and Relationships</w:t>
      </w:r>
    </w:p>
    <w:p>
      <w:pPr>
        <w:pStyle w:val="Heading3"/>
      </w:pPr>
      <w:r>
        <w:t xml:space="preserve">Asset Beta and Levering/Unlevering</w:t>
      </w:r>
    </w:p>
    <w:p>
      <w:pPr>
        <w:spacing w:after="60"/>
      </w:pPr>
      <w:r>
        <w:t xml:space="preserve">Textbook WACC (Miles-Ezzell):  βa = βe × E/V + βd × D/V</w:t>
      </w:r>
    </w:p>
    <w:p>
      <w:pPr>
        <w:spacing w:after="60"/>
      </w:pPr>
      <w:r>
        <w:t xml:space="preserve">MM WACC (Modigliani-Miller):  βe = βa + (1−Tc)(βa − βd) × D/E</w:t>
      </w:r>
    </w:p>
    <w:p>
      <w:pPr>
        <w:spacing w:after="160"/>
      </w:pPr>
    </w:p>
    <w:p>
      <w:pPr>
        <w:pStyle w:val="Heading3"/>
      </w:pPr>
      <w:r>
        <w:t xml:space="preserve">APV</w:t>
      </w:r>
    </w:p>
    <w:p>
      <w:pPr>
        <w:spacing w:after="60"/>
      </w:pPr>
      <w:r>
        <w:t xml:space="preserve">APV = PV(Unlevered firm) + PV(Tax shields)</w:t>
      </w:r>
    </w:p>
    <w:p>
      <w:pPr>
        <w:spacing w:after="60"/>
      </w:pPr>
      <w:r>
        <w:t xml:space="preserve">Unlevered CF = EBIT × (1 − tax rate)    [exclude interest tax shields here — they are valued separately]</w:t>
      </w:r>
    </w:p>
    <w:p>
      <w:pPr>
        <w:spacing w:after="160"/>
      </w:pPr>
    </w:p>
    <w:p>
      <w:pPr>
        <w:pStyle w:val="Heading3"/>
      </w:pPr>
      <w:r>
        <w:t xml:space="preserve">Equity Value</w:t>
      </w:r>
    </w:p>
    <w:p>
      <w:pPr>
        <w:spacing w:after="60"/>
      </w:pPr>
      <w:r>
        <w:t xml:space="preserve">Equity Value = Enterprise Value − Total Net Debt</w:t>
      </w:r>
    </w:p>
    <w:p>
      <w:pPr>
        <w:spacing w:after="60"/>
      </w:pPr>
      <w:r>
        <w:t xml:space="preserve">(e.g., $1,500 − $50 senior − $300 junior = $1,150)</w:t>
      </w:r>
    </w:p>
    <w:p>
      <w:pPr>
        <w:spacing w:after="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2026-03-20T08:58:32.404Z</dcterms:created>
  <dcterms:modified xsi:type="dcterms:W3CDTF">2026-03-20T08:58:32.405Z</dcterms:modified>
</cp:coreProperties>
</file>

<file path=docProps/custom.xml><?xml version="1.0" encoding="utf-8"?>
<Properties xmlns="http://schemas.openxmlformats.org/officeDocument/2006/custom-properties" xmlns:vt="http://schemas.openxmlformats.org/officeDocument/2006/docPropsVTypes"/>
</file>