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4"/>
          <w:szCs w:val="44"/>
        </w:rPr>
        <w:t xml:space="preserve">MPLADS Anomaly &amp; Fraud Intelligence Platform</w:t>
      </w:r>
    </w:p>
    <w:p>
      <w:pPr>
        <w:spacing w:before="200"/>
        <w:jc w:val="center"/>
      </w:pPr>
      <w:r>
        <w:rPr>
          <w:color w:val="2E74B5"/>
          <w:sz w:val="30"/>
          <w:szCs w:val="30"/>
        </w:rPr>
        <w:t xml:space="preserve">Complete Implementation Blueprint</w:t>
      </w:r>
    </w:p>
    <w:p>
      <w:pPr>
        <w:spacing w:before="400"/>
        <w:jc w:val="center"/>
      </w:pPr>
      <w:r>
        <w:rPr>
          <w:sz w:val="22"/>
          <w:szCs w:val="22"/>
        </w:rPr>
        <w:t xml:space="preserve">SIH 2026 — Problem Statement 26102</w:t>
      </w:r>
    </w:p>
    <w:p>
      <w:pPr>
        <w:spacing w:before="100"/>
        <w:jc w:val="center"/>
      </w:pPr>
      <w:r>
        <w:rPr>
          <w:i/>
          <w:iCs/>
          <w:sz w:val="20"/>
          <w:szCs w:val="20"/>
        </w:rPr>
        <w:t xml:space="preserve">AI-powered detection of anomalies, fraud, and inefficiencies in MPLADS scheme implementation</w:t>
      </w:r>
    </w:p>
    <w:p>
      <w:pPr>
        <w:spacing w:before="800"/>
        <w:jc w:val="center"/>
      </w:pPr>
      <w:r>
        <w:rPr>
          <w:color w:val="666666"/>
          <w:sz w:val="18"/>
          <w:szCs w:val="18"/>
        </w:rPr>
        <w:t xml:space="preserve">Locked feature set — 8 detection engines + investigator dashboard, Internal Round MVP; Grand Finale and Future Scope layers designed but not built for the internal round.</w:t>
      </w:r>
    </w:p>
    <w:p>
      <w:pPr>
        <w:pStyle w:val="Heading1"/>
        <w:pageBreakBefore/>
        <w:spacing w:after="200" w:before="200"/>
      </w:pPr>
      <w:r>
        <w:rPr>
          <w:b/>
          <w:bCs/>
          <w:color w:val="1F3864"/>
        </w:rPr>
        <w:t xml:space="preserve">Executive Summary</w:t>
      </w:r>
    </w:p>
    <w:p>
      <w:pPr>
        <w:spacing w:after="120"/>
      </w:pPr>
      <w:r>
        <w:rPr>
          <w:b w:val="false"/>
          <w:bCs w:val="false"/>
          <w:i w:val="false"/>
          <w:iCs w:val="false"/>
        </w:rPr>
        <w:t xml:space="preserve">This blueprint implements the feature set locked on 2026-09-07: 8 detection/scoring engines feeding one fused risk score, an investigator dashboard (NAZAR District Command Centre), and a human-feedback calibration loop — built entirely on data actually scraped from mplads.mospi.gov.in (2,682 works across 49 constituencies and counting, plus real completed-work photos). No fraud labels exist anywhere for MPLADS, so the whole detection stack is unsupervised + rule-augmented, validated by a synthetic fraud-injection harness built from real CAG-audit case patterns rather than guessed heuristics.</w:t>
      </w:r>
    </w:p>
    <w:p>
      <w:pPr>
        <w:pStyle w:val="Heading2"/>
        <w:spacing w:after="120" w:before="240"/>
      </w:pPr>
      <w:r>
        <w:rPr>
          <w:b/>
          <w:bCs/>
          <w:color w:val="2E74B5"/>
        </w:rPr>
        <w:t xml:space="preserve">Locked Feature Groups</w:t>
      </w:r>
    </w:p>
    <w:p>
      <w:pPr>
        <w:pStyle w:val="Heading3"/>
        <w:spacing w:after="80" w:before="180"/>
      </w:pPr>
      <w:r>
        <w:rPr>
          <w:b/>
          <w:bCs/>
        </w:rPr>
        <w:t xml:space="preserve">🟢 Internal Round — build now</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900"/>
        <w:gridCol w:w="6600"/>
      </w:tblGrid>
      <w:tr>
        <w:trPr>
          <w:tblHeader/>
        </w:trPr>
        <w:tc>
          <w:tcPr>
            <w:tcW w:type="dxa" w:w="2900"/>
            <w:shd w:fill="1F3864" w:val="clear"/>
            <w:tcMar>
              <w:top w:type="dxa" w:w="60"/>
              <w:left w:type="dxa" w:w="100"/>
              <w:bottom w:type="dxa" w:w="60"/>
              <w:right w:type="dxa" w:w="100"/>
            </w:tcMar>
            <w:vAlign w:val="center"/>
          </w:tcPr>
          <w:p>
            <w:r>
              <w:rPr>
                <w:b/>
                <w:bCs/>
                <w:color w:val="FFFFFF"/>
                <w:sz w:val="19"/>
                <w:szCs w:val="19"/>
              </w:rPr>
              <w:t xml:space="preserve">Feature</w:t>
            </w:r>
          </w:p>
        </w:tc>
        <w:tc>
          <w:tcPr>
            <w:tcW w:type="dxa" w:w="6600"/>
            <w:shd w:fill="1F3864" w:val="clear"/>
            <w:tcMar>
              <w:top w:type="dxa" w:w="60"/>
              <w:left w:type="dxa" w:w="100"/>
              <w:bottom w:type="dxa" w:w="60"/>
              <w:right w:type="dxa" w:w="100"/>
            </w:tcMar>
            <w:vAlign w:val="center"/>
          </w:tcPr>
          <w:p>
            <w:r>
              <w:rPr>
                <w:b/>
                <w:bCs/>
                <w:color w:val="FFFFFF"/>
                <w:sz w:val="19"/>
                <w:szCs w:val="19"/>
              </w:rPr>
              <w:t xml:space="preserve">Tagline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PolicyCode MPLADS (Rule Engine)</w:t>
            </w:r>
          </w:p>
        </w:tc>
        <w:tc>
          <w:tcPr>
            <w:tcW w:type="dxa" w:w="6600"/>
            <w:tcMar>
              <w:top w:type="dxa" w:w="60"/>
              <w:left w:type="dxa" w:w="100"/>
              <w:bottom w:type="dxa" w:w="60"/>
              <w:right w:type="dxa" w:w="100"/>
            </w:tcMar>
            <w:vAlign w:val="center"/>
          </w:tcPr>
          <w:p>
            <w:r>
              <w:rPr>
                <w:b w:val="false"/>
                <w:bCs w:val="false"/>
                <w:color w:val="000000"/>
                <w:sz w:val="19"/>
                <w:szCs w:val="19"/>
              </w:rPr>
              <w:t xml:space="preserve">Every MPLADS guideline, turned into a check the system runs automatically.</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Isolation Forest + Fraud-Injection Validator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Finds the outlier no single rule was written to catch — and proves it by catching planted fraud first.</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Photo-Reuse Engine (pHash + SIFT/ORB)</w:t>
            </w:r>
          </w:p>
        </w:tc>
        <w:tc>
          <w:tcPr>
            <w:tcW w:type="dxa" w:w="6600"/>
            <w:tcMar>
              <w:top w:type="dxa" w:w="60"/>
              <w:left w:type="dxa" w:w="100"/>
              <w:bottom w:type="dxa" w:w="60"/>
              <w:right w:type="dxa" w:w="100"/>
            </w:tcMar>
            <w:vAlign w:val="center"/>
          </w:tcPr>
          <w:p>
            <w:r>
              <w:rPr>
                <w:b w:val="false"/>
                <w:bCs w:val="false"/>
                <w:color w:val="000000"/>
                <w:sz w:val="19"/>
                <w:szCs w:val="19"/>
              </w:rPr>
              <w:t xml:space="preserve">If a photo already exists somewhere else in MPLADS, we'll find it.</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NLP Duplicate-Work Engine</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Catches the same asset claimed twice, even in different words, a year apart.</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Idle Sanctioned-Fund Detector</w:t>
            </w:r>
          </w:p>
        </w:tc>
        <w:tc>
          <w:tcPr>
            <w:tcW w:type="dxa" w:w="6600"/>
            <w:tcMar>
              <w:top w:type="dxa" w:w="60"/>
              <w:left w:type="dxa" w:w="100"/>
              <w:bottom w:type="dxa" w:w="60"/>
              <w:right w:type="dxa" w:w="100"/>
            </w:tcMar>
            <w:vAlign w:val="center"/>
          </w:tcPr>
          <w:p>
            <w:r>
              <w:rPr>
                <w:b w:val="false"/>
                <w:bCs w:val="false"/>
                <w:color w:val="000000"/>
                <w:sz w:val="19"/>
                <w:szCs w:val="19"/>
              </w:rPr>
              <w:t xml:space="preserve">Money sanctioned, nothing built — flagged before it's forgotten.</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Fund-Absorption Forecast</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Warns which MPs and states are on track to leave their budget unused, months before the fiscal year closes.</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Risk Fusion Engine</w:t>
            </w:r>
          </w:p>
        </w:tc>
        <w:tc>
          <w:tcPr>
            <w:tcW w:type="dxa" w:w="6600"/>
            <w:tcMar>
              <w:top w:type="dxa" w:w="60"/>
              <w:left w:type="dxa" w:w="100"/>
              <w:bottom w:type="dxa" w:w="60"/>
              <w:right w:type="dxa" w:w="100"/>
            </w:tcMar>
            <w:vAlign w:val="center"/>
          </w:tcPr>
          <w:p>
            <w:r>
              <w:rPr>
                <w:b w:val="false"/>
                <w:bCs w:val="false"/>
                <w:color w:val="000000"/>
                <w:sz w:val="19"/>
                <w:szCs w:val="19"/>
              </w:rPr>
              <w:t xml:space="preserve">One number, fully explained — never a black-box score.</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Human-Feedback Calibration Engine</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Every dismissed alert makes the next one more accurate.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NAZAR District Command Centre</w:t>
            </w:r>
          </w:p>
        </w:tc>
        <w:tc>
          <w:tcPr>
            <w:tcW w:type="dxa" w:w="6600"/>
            <w:tcMar>
              <w:top w:type="dxa" w:w="60"/>
              <w:left w:type="dxa" w:w="100"/>
              <w:bottom w:type="dxa" w:w="60"/>
              <w:right w:type="dxa" w:w="100"/>
            </w:tcMar>
            <w:vAlign w:val="center"/>
          </w:tcPr>
          <w:p>
            <w:r>
              <w:rPr>
                <w:b w:val="false"/>
                <w:bCs w:val="false"/>
                <w:color w:val="000000"/>
                <w:sz w:val="19"/>
                <w:szCs w:val="19"/>
              </w:rPr>
              <w:t xml:space="preserve">The single screen where every signal above becomes an officer's next action.</w:t>
            </w:r>
          </w:p>
        </w:tc>
      </w:tr>
    </w:tbl>
    <w:p>
      <w:pPr>
        <w:pStyle w:val="Heading3"/>
        <w:spacing w:after="80" w:before="180"/>
      </w:pPr>
      <w:r>
        <w:rPr>
          <w:b/>
          <w:bCs/>
        </w:rPr>
        <w:t xml:space="preserve">🔵 Grand Finale — design now, build after qualification</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900"/>
        <w:gridCol w:w="6600"/>
      </w:tblGrid>
      <w:tr>
        <w:trPr>
          <w:tblHeader/>
        </w:trPr>
        <w:tc>
          <w:tcPr>
            <w:tcW w:type="dxa" w:w="2900"/>
            <w:shd w:fill="1F3864" w:val="clear"/>
            <w:tcMar>
              <w:top w:type="dxa" w:w="60"/>
              <w:left w:type="dxa" w:w="100"/>
              <w:bottom w:type="dxa" w:w="60"/>
              <w:right w:type="dxa" w:w="100"/>
            </w:tcMar>
            <w:vAlign w:val="center"/>
          </w:tcPr>
          <w:p>
            <w:r>
              <w:rPr>
                <w:b/>
                <w:bCs/>
                <w:color w:val="FFFFFF"/>
                <w:sz w:val="19"/>
                <w:szCs w:val="19"/>
              </w:rPr>
              <w:t xml:space="preserve">Feature</w:t>
            </w:r>
          </w:p>
        </w:tc>
        <w:tc>
          <w:tcPr>
            <w:tcW w:type="dxa" w:w="6600"/>
            <w:shd w:fill="1F3864" w:val="clear"/>
            <w:tcMar>
              <w:top w:type="dxa" w:w="60"/>
              <w:left w:type="dxa" w:w="100"/>
              <w:bottom w:type="dxa" w:w="60"/>
              <w:right w:type="dxa" w:w="100"/>
            </w:tcMar>
            <w:vAlign w:val="center"/>
          </w:tcPr>
          <w:p>
            <w:r>
              <w:rPr>
                <w:b/>
                <w:bCs/>
                <w:color w:val="FFFFFF"/>
                <w:sz w:val="19"/>
                <w:szCs w:val="19"/>
              </w:rPr>
              <w:t xml:space="preserve">Tagline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Illegal State-Transition Detector</w:t>
            </w:r>
          </w:p>
        </w:tc>
        <w:tc>
          <w:tcPr>
            <w:tcW w:type="dxa" w:w="6600"/>
            <w:tcMar>
              <w:top w:type="dxa" w:w="60"/>
              <w:left w:type="dxa" w:w="100"/>
              <w:bottom w:type="dxa" w:w="60"/>
              <w:right w:type="dxa" w:w="100"/>
            </w:tcMar>
            <w:vAlign w:val="center"/>
          </w:tcPr>
          <w:p>
            <w:r>
              <w:rPr>
                <w:b w:val="false"/>
                <w:bCs w:val="false"/>
                <w:color w:val="000000"/>
                <w:sz w:val="19"/>
                <w:szCs w:val="19"/>
              </w:rPr>
              <w:t xml:space="preserve">Flags a project that was completed before it was ever sanctioned.</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Version-History Integrity Monitor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Notices when a record changes quietly, not just when it's wrong.</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Source-Freshness Monitor</w:t>
            </w:r>
          </w:p>
        </w:tc>
        <w:tc>
          <w:tcPr>
            <w:tcW w:type="dxa" w:w="6600"/>
            <w:tcMar>
              <w:top w:type="dxa" w:w="60"/>
              <w:left w:type="dxa" w:w="100"/>
              <w:bottom w:type="dxa" w:w="60"/>
              <w:right w:type="dxa" w:w="100"/>
            </w:tcMar>
            <w:vAlign w:val="center"/>
          </w:tcPr>
          <w:p>
            <w:r>
              <w:rPr>
                <w:b w:val="false"/>
                <w:bCs w:val="false"/>
                <w:color w:val="000000"/>
                <w:sz w:val="19"/>
                <w:szCs w:val="19"/>
              </w:rPr>
              <w:t xml:space="preserve">Tells the difference between "nothing happened" and "the data stopped arriving."</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JanNirikshan</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Lets the citizens who live next to the asset confirm it's actually there.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Outgoing-MP Closure Tracker</w:t>
            </w:r>
          </w:p>
        </w:tc>
        <w:tc>
          <w:tcPr>
            <w:tcW w:type="dxa" w:w="6600"/>
            <w:tcMar>
              <w:top w:type="dxa" w:w="60"/>
              <w:left w:type="dxa" w:w="100"/>
              <w:bottom w:type="dxa" w:w="60"/>
              <w:right w:type="dxa" w:w="100"/>
            </w:tcMar>
            <w:vAlign w:val="center"/>
          </w:tcPr>
          <w:p>
            <w:r>
              <w:rPr>
                <w:b w:val="false"/>
                <w:bCs w:val="false"/>
                <w:color w:val="000000"/>
                <w:sz w:val="19"/>
                <w:szCs w:val="19"/>
              </w:rPr>
              <w:t xml:space="preserve">Keeps watch on unfinished works after the MP who sanctioned them has left office.</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SatelliteScout</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Checks from orbit whether a claimed structure was ever really built.</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DINOv2 Near-Duplicate-Scene + CLIP Category-Mismatch</w:t>
            </w:r>
          </w:p>
        </w:tc>
        <w:tc>
          <w:tcPr>
            <w:tcW w:type="dxa" w:w="6600"/>
            <w:tcMar>
              <w:top w:type="dxa" w:w="60"/>
              <w:left w:type="dxa" w:w="100"/>
              <w:bottom w:type="dxa" w:w="60"/>
              <w:right w:type="dxa" w:w="100"/>
            </w:tcMar>
            <w:vAlign w:val="center"/>
          </w:tcPr>
          <w:p>
            <w:r>
              <w:rPr>
                <w:b w:val="false"/>
                <w:bCs w:val="false"/>
                <w:color w:val="000000"/>
                <w:sz w:val="19"/>
                <w:szCs w:val="19"/>
              </w:rPr>
              <w:t xml:space="preserve">Recognizes the same physical site in a different photo, and catches a photo that doesn't match its claimed work type.</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Benford's Law Agency Check</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Digit patterns that don't occur in nature are a sign the numbers were written, not recorded.</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Government Cost Baselines</w:t>
            </w:r>
          </w:p>
        </w:tc>
        <w:tc>
          <w:tcPr>
            <w:tcW w:type="dxa" w:w="6600"/>
            <w:tcMar>
              <w:top w:type="dxa" w:w="60"/>
              <w:left w:type="dxa" w:w="100"/>
              <w:bottom w:type="dxa" w:w="60"/>
              <w:right w:type="dxa" w:w="100"/>
            </w:tcMar>
            <w:vAlign w:val="center"/>
          </w:tcPr>
          <w:p>
            <w:r>
              <w:rPr>
                <w:b w:val="false"/>
                <w:bCs w:val="false"/>
                <w:color w:val="000000"/>
                <w:sz w:val="19"/>
                <w:szCs w:val="19"/>
              </w:rPr>
              <w:t xml:space="preserve">Prices every work against the government's own official rate card, not just its peers.</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Ongoing CAG Report Mining</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Every year's audit findings become next year's detection rule.</w:t>
            </w:r>
          </w:p>
        </w:tc>
      </w:tr>
    </w:tbl>
    <w:p>
      <w:pPr>
        <w:pStyle w:val="Heading3"/>
        <w:spacing w:after="80" w:before="180"/>
      </w:pPr>
      <w:r>
        <w:rPr>
          <w:b/>
          <w:bCs/>
        </w:rPr>
        <w:t xml:space="preserve">🟣 Future Scope — production, pending government data access</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900"/>
        <w:gridCol w:w="6600"/>
      </w:tblGrid>
      <w:tr>
        <w:trPr>
          <w:tblHeader/>
        </w:trPr>
        <w:tc>
          <w:tcPr>
            <w:tcW w:type="dxa" w:w="2900"/>
            <w:shd w:fill="1F3864" w:val="clear"/>
            <w:tcMar>
              <w:top w:type="dxa" w:w="60"/>
              <w:left w:type="dxa" w:w="100"/>
              <w:bottom w:type="dxa" w:w="60"/>
              <w:right w:type="dxa" w:w="100"/>
            </w:tcMar>
            <w:vAlign w:val="center"/>
          </w:tcPr>
          <w:p>
            <w:r>
              <w:rPr>
                <w:b/>
                <w:bCs/>
                <w:color w:val="FFFFFF"/>
                <w:sz w:val="19"/>
                <w:szCs w:val="19"/>
              </w:rPr>
              <w:t xml:space="preserve">Feature</w:t>
            </w:r>
          </w:p>
        </w:tc>
        <w:tc>
          <w:tcPr>
            <w:tcW w:type="dxa" w:w="6600"/>
            <w:shd w:fill="1F3864" w:val="clear"/>
            <w:tcMar>
              <w:top w:type="dxa" w:w="60"/>
              <w:left w:type="dxa" w:w="100"/>
              <w:bottom w:type="dxa" w:w="60"/>
              <w:right w:type="dxa" w:w="100"/>
            </w:tcMar>
            <w:vAlign w:val="center"/>
          </w:tcPr>
          <w:p>
            <w:r>
              <w:rPr>
                <w:b/>
                <w:bCs/>
                <w:color w:val="FFFFFF"/>
                <w:sz w:val="19"/>
                <w:szCs w:val="19"/>
              </w:rPr>
              <w:t xml:space="preserve">Tagline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Sanction-Limit Breach Detector</w:t>
            </w:r>
          </w:p>
        </w:tc>
        <w:tc>
          <w:tcPr>
            <w:tcW w:type="dxa" w:w="6600"/>
            <w:tcMar>
              <w:top w:type="dxa" w:w="60"/>
              <w:left w:type="dxa" w:w="100"/>
              <w:bottom w:type="dxa" w:w="60"/>
              <w:right w:type="dxa" w:w="100"/>
            </w:tcMar>
            <w:vAlign w:val="center"/>
          </w:tcPr>
          <w:p>
            <w:r>
              <w:rPr>
                <w:b w:val="false"/>
                <w:bCs w:val="false"/>
                <w:color w:val="000000"/>
                <w:sz w:val="19"/>
                <w:szCs w:val="19"/>
              </w:rPr>
              <w:t xml:space="preserve">Catches spending past what was ever approved — once a real sanction ceiling exists in the data.</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eSAKSHI–PFMS Reconciliation</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Matches what the portal claims was paid against what the treasury actually paid.</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Underbid-Then-Escalate / Change-Order Creep Monitor</w:t>
            </w:r>
          </w:p>
        </w:tc>
        <w:tc>
          <w:tcPr>
            <w:tcW w:type="dxa" w:w="6600"/>
            <w:tcMar>
              <w:top w:type="dxa" w:w="60"/>
              <w:left w:type="dxa" w:w="100"/>
              <w:bottom w:type="dxa" w:w="60"/>
              <w:right w:type="dxa" w:w="100"/>
            </w:tcMar>
            <w:vAlign w:val="center"/>
          </w:tcPr>
          <w:p>
            <w:r>
              <w:rPr>
                <w:b w:val="false"/>
                <w:bCs w:val="false"/>
                <w:color w:val="000000"/>
                <w:sz w:val="19"/>
                <w:szCs w:val="19"/>
              </w:rPr>
              <w:t xml:space="preserve">Catches the contract that was won cheap and quietly made expensive.</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Shared Contact / Shared-Address Cluster Detector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Finds "different" vendors sharing the same phone number or office.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Cross-Scheme Duplicate Detector</w:t>
            </w:r>
          </w:p>
        </w:tc>
        <w:tc>
          <w:tcPr>
            <w:tcW w:type="dxa" w:w="6600"/>
            <w:tcMar>
              <w:top w:type="dxa" w:w="60"/>
              <w:left w:type="dxa" w:w="100"/>
              <w:bottom w:type="dxa" w:w="60"/>
              <w:right w:type="dxa" w:w="100"/>
            </w:tcMar>
            <w:vAlign w:val="center"/>
          </w:tcPr>
          <w:p>
            <w:r>
              <w:rPr>
                <w:b w:val="false"/>
                <w:bCs w:val="false"/>
                <w:color w:val="000000"/>
                <w:sz w:val="19"/>
                <w:szCs w:val="19"/>
              </w:rPr>
              <w:t xml:space="preserve">Stops the same work being funded twice by two different schemes.</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Coordinate-Jitter Detector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Catches an asset re-registered at a suspiciously nearby location to dodge a duplicate check.</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Image-Manipulation Risk Detector</w:t>
            </w:r>
          </w:p>
        </w:tc>
        <w:tc>
          <w:tcPr>
            <w:tcW w:type="dxa" w:w="6600"/>
            <w:tcMar>
              <w:top w:type="dxa" w:w="60"/>
              <w:left w:type="dxa" w:w="100"/>
              <w:bottom w:type="dxa" w:w="60"/>
              <w:right w:type="dxa" w:w="100"/>
            </w:tcMar>
            <w:vAlign w:val="center"/>
          </w:tcPr>
          <w:p>
            <w:r>
              <w:rPr>
                <w:b w:val="false"/>
                <w:bCs w:val="false"/>
                <w:color w:val="000000"/>
                <w:sz w:val="19"/>
                <w:szCs w:val="19"/>
              </w:rPr>
              <w:t xml:space="preserve">Looks for signs a completion photo was digitally altered.</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Probabilistic Record-Linkage Engine</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Follows one project across every government system that touched it.</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Pass-Through Vendor Detector</w:t>
            </w:r>
          </w:p>
        </w:tc>
        <w:tc>
          <w:tcPr>
            <w:tcW w:type="dxa" w:w="6600"/>
            <w:tcMar>
              <w:top w:type="dxa" w:w="60"/>
              <w:left w:type="dxa" w:w="100"/>
              <w:bottom w:type="dxa" w:w="60"/>
              <w:right w:type="dxa" w:w="100"/>
            </w:tcMar>
            <w:vAlign w:val="center"/>
          </w:tcPr>
          <w:p>
            <w:r>
              <w:rPr>
                <w:b w:val="false"/>
                <w:bCs w:val="false"/>
                <w:color w:val="000000"/>
                <w:sz w:val="19"/>
                <w:szCs w:val="19"/>
              </w:rPr>
              <w:t xml:space="preserve">Flags a vendor who receives funds and immediately moves most of them onward.</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DocShield</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Reads the invoice, the certificate, and the sanction letter, and checks they agree.</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GrievanceFusion</w:t>
            </w:r>
          </w:p>
        </w:tc>
        <w:tc>
          <w:tcPr>
            <w:tcW w:type="dxa" w:w="6600"/>
            <w:tcMar>
              <w:top w:type="dxa" w:w="60"/>
              <w:left w:type="dxa" w:w="100"/>
              <w:bottom w:type="dxa" w:w="60"/>
              <w:right w:type="dxa" w:w="100"/>
            </w:tcMar>
            <w:vAlign w:val="center"/>
          </w:tcPr>
          <w:p>
            <w:r>
              <w:rPr>
                <w:b w:val="false"/>
                <w:bCs w:val="false"/>
                <w:color w:val="000000"/>
                <w:sz w:val="19"/>
                <w:szCs w:val="19"/>
              </w:rPr>
              <w:t xml:space="preserve">Turns scattered citizen complaints into one case file per project.</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Exception Control Tower / Deadline Exception Governor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One place where every deadline extension and cost revision needs a real sign-off.</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Statutory Charge Checker</w:t>
            </w:r>
          </w:p>
        </w:tc>
        <w:tc>
          <w:tcPr>
            <w:tcW w:type="dxa" w:w="6600"/>
            <w:tcMar>
              <w:top w:type="dxa" w:w="60"/>
              <w:left w:type="dxa" w:w="100"/>
              <w:bottom w:type="dxa" w:w="60"/>
              <w:right w:type="dxa" w:w="100"/>
            </w:tcMar>
            <w:vAlign w:val="center"/>
          </w:tcPr>
          <w:p>
            <w:r>
              <w:rPr>
                <w:b w:val="false"/>
                <w:bCs w:val="false"/>
                <w:color w:val="000000"/>
                <w:sz w:val="19"/>
                <w:szCs w:val="19"/>
              </w:rPr>
              <w:t xml:space="preserve">Verifies the tax and statutory deductions on an invoice actually match the rules.</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BidRing Radar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Looks for the same small group of bidders winning contracts in a suspicious rotation.</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GeM Award Mirror</w:t>
            </w:r>
          </w:p>
        </w:tc>
        <w:tc>
          <w:tcPr>
            <w:tcW w:type="dxa" w:w="6600"/>
            <w:tcMar>
              <w:top w:type="dxa" w:w="60"/>
              <w:left w:type="dxa" w:w="100"/>
              <w:bottom w:type="dxa" w:w="60"/>
              <w:right w:type="dxa" w:w="100"/>
            </w:tcMar>
            <w:vAlign w:val="center"/>
          </w:tcPr>
          <w:p>
            <w:r>
              <w:rPr>
                <w:b w:val="false"/>
                <w:bCs w:val="false"/>
                <w:color w:val="000000"/>
                <w:sz w:val="19"/>
                <w:szCs w:val="19"/>
              </w:rPr>
              <w:t xml:space="preserve">Cross-checks MPLADS purchases against what they cost on the government's own marketplace.</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ClauseGuard</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Reads a contract before it's signed and flags the clause nobody noticed.</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Guideline Change Impact Engine</w:t>
            </w:r>
          </w:p>
        </w:tc>
        <w:tc>
          <w:tcPr>
            <w:tcW w:type="dxa" w:w="6600"/>
            <w:tcMar>
              <w:top w:type="dxa" w:w="60"/>
              <w:left w:type="dxa" w:w="100"/>
              <w:bottom w:type="dxa" w:w="60"/>
              <w:right w:type="dxa" w:w="100"/>
            </w:tcMar>
            <w:vAlign w:val="center"/>
          </w:tcPr>
          <w:p>
            <w:r>
              <w:rPr>
                <w:b w:val="false"/>
                <w:bCs w:val="false"/>
                <w:color w:val="000000"/>
                <w:sz w:val="19"/>
                <w:szCs w:val="19"/>
              </w:rPr>
              <w:t xml:space="preserve">When a rule changes, shows exactly which ongoing projects it now affects.</w:t>
            </w:r>
          </w:p>
        </w:tc>
      </w:tr>
    </w:tbl>
    <w:p>
      <w:pPr>
        <w:pStyle w:val="Heading3"/>
        <w:spacing w:after="80" w:before="180"/>
      </w:pPr>
      <w:r>
        <w:rPr>
          <w:b/>
          <w:bCs/>
        </w:rPr>
        <w:t xml:space="preserve">🔴 Removed</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900"/>
        <w:gridCol w:w="6600"/>
      </w:tblGrid>
      <w:tr>
        <w:trPr>
          <w:tblHeader/>
        </w:trPr>
        <w:tc>
          <w:tcPr>
            <w:tcW w:type="dxa" w:w="2900"/>
            <w:shd w:fill="1F3864" w:val="clear"/>
            <w:tcMar>
              <w:top w:type="dxa" w:w="60"/>
              <w:left w:type="dxa" w:w="100"/>
              <w:bottom w:type="dxa" w:w="60"/>
              <w:right w:type="dxa" w:w="100"/>
            </w:tcMar>
            <w:vAlign w:val="center"/>
          </w:tcPr>
          <w:p>
            <w:r>
              <w:rPr>
                <w:b/>
                <w:bCs/>
                <w:color w:val="FFFFFF"/>
                <w:sz w:val="19"/>
                <w:szCs w:val="19"/>
              </w:rPr>
              <w:t xml:space="preserve">Feature</w:t>
            </w:r>
          </w:p>
        </w:tc>
        <w:tc>
          <w:tcPr>
            <w:tcW w:type="dxa" w:w="6600"/>
            <w:shd w:fill="1F3864" w:val="clear"/>
            <w:tcMar>
              <w:top w:type="dxa" w:w="60"/>
              <w:left w:type="dxa" w:w="100"/>
              <w:bottom w:type="dxa" w:w="60"/>
              <w:right w:type="dxa" w:w="100"/>
            </w:tcMar>
            <w:vAlign w:val="center"/>
          </w:tcPr>
          <w:p>
            <w:r>
              <w:rPr>
                <w:b/>
                <w:bCs/>
                <w:color w:val="FFFFFF"/>
                <w:sz w:val="19"/>
                <w:szCs w:val="19"/>
              </w:rPr>
              <w:t xml:space="preserve">Why</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One-Year Completion Breach</w:t>
            </w:r>
          </w:p>
        </w:tc>
        <w:tc>
          <w:tcPr>
            <w:tcW w:type="dxa" w:w="6600"/>
            <w:tcMar>
              <w:top w:type="dxa" w:w="60"/>
              <w:left w:type="dxa" w:w="100"/>
              <w:bottom w:type="dxa" w:w="60"/>
              <w:right w:type="dxa" w:w="100"/>
            </w:tcMar>
            <w:vAlign w:val="center"/>
          </w:tcPr>
          <w:p>
            <w:r>
              <w:rPr>
                <w:b w:val="false"/>
                <w:bCs w:val="false"/>
                <w:color w:val="000000"/>
                <w:sz w:val="19"/>
                <w:szCs w:val="19"/>
              </w:rPr>
              <w:t xml:space="preserve">46% of current sample already exceeds 365 days on the fiscal-year proxy — unusable as a hard rule without exception-approval data we don't have.</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Vendor / IDA-Concentration Monitor</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Dropped at the user's explicit request.</w:t>
            </w:r>
          </w:p>
        </w:tc>
      </w:tr>
      <w:tr>
        <w:tc>
          <w:tcPr>
            <w:tcW w:type="dxa" w:w="2900"/>
            <w:tcMar>
              <w:top w:type="dxa" w:w="60"/>
              <w:left w:type="dxa" w:w="100"/>
              <w:bottom w:type="dxa" w:w="60"/>
              <w:right w:type="dxa" w:w="100"/>
            </w:tcMar>
            <w:vAlign w:val="center"/>
          </w:tcPr>
          <w:p>
            <w:r>
              <w:rPr>
                <w:b w:val="false"/>
                <w:bCs w:val="false"/>
                <w:color w:val="000000"/>
                <w:sz w:val="19"/>
                <w:szCs w:val="19"/>
              </w:rPr>
              <w:t xml:space="preserve">EXIF Integrity Checker</w:t>
            </w:r>
          </w:p>
        </w:tc>
        <w:tc>
          <w:tcPr>
            <w:tcW w:type="dxa" w:w="6600"/>
            <w:tcMar>
              <w:top w:type="dxa" w:w="60"/>
              <w:left w:type="dxa" w:w="100"/>
              <w:bottom w:type="dxa" w:w="60"/>
              <w:right w:type="dxa" w:w="100"/>
            </w:tcMar>
            <w:vAlign w:val="center"/>
          </w:tcPr>
          <w:p>
            <w:r>
              <w:rPr>
                <w:b w:val="false"/>
                <w:bCs w:val="false"/>
                <w:color w:val="000000"/>
                <w:sz w:val="19"/>
                <w:szCs w:val="19"/>
              </w:rPr>
              <w:t xml:space="preserve">Dead on real data — the portal strips all photo metadata before we ever see it, confirmed by inspecting real scraped photos.</w:t>
            </w:r>
          </w:p>
        </w:tc>
      </w:tr>
      <w:tr>
        <w:tc>
          <w:tcPr>
            <w:tcW w:type="dxa" w:w="2900"/>
            <w:shd w:fill="F2F2F2" w:val="clear"/>
            <w:tcMar>
              <w:top w:type="dxa" w:w="60"/>
              <w:left w:type="dxa" w:w="100"/>
              <w:bottom w:type="dxa" w:w="60"/>
              <w:right w:type="dxa" w:w="100"/>
            </w:tcMar>
            <w:vAlign w:val="center"/>
          </w:tcPr>
          <w:p>
            <w:r>
              <w:rPr>
                <w:b w:val="false"/>
                <w:bCs w:val="false"/>
                <w:color w:val="000000"/>
                <w:sz w:val="19"/>
                <w:szCs w:val="19"/>
              </w:rPr>
              <w:t xml:space="preserve">RACI Responsibility Hub</w:t>
            </w:r>
          </w:p>
        </w:tc>
        <w:tc>
          <w:tcPr>
            <w:tcW w:type="dxa" w:w="6600"/>
            <w:shd w:fill="F2F2F2" w:val="clear"/>
            <w:tcMar>
              <w:top w:type="dxa" w:w="60"/>
              <w:left w:type="dxa" w:w="100"/>
              <w:bottom w:type="dxa" w:w="60"/>
              <w:right w:type="dxa" w:w="100"/>
            </w:tcMar>
            <w:vAlign w:val="center"/>
          </w:tcPr>
          <w:p>
            <w:r>
              <w:rPr>
                <w:b w:val="false"/>
                <w:bCs w:val="false"/>
                <w:color w:val="000000"/>
                <w:sz w:val="19"/>
                <w:szCs w:val="19"/>
              </w:rPr>
              <w:t xml:space="preserve">A project-management tool, not a fraud or anomaly detector — doesn't trace back to a real MPLADS detection problem.</w:t>
            </w:r>
          </w:p>
        </w:tc>
      </w:tr>
    </w:tbl>
    <w:p>
      <w:pPr>
        <w:pStyle w:val="Heading1"/>
        <w:pageBreakBefore/>
        <w:spacing w:after="200" w:before="200"/>
      </w:pPr>
      <w:r>
        <w:rPr>
          <w:b/>
          <w:bCs/>
          <w:color w:val="1F3864"/>
        </w:rPr>
        <w:t xml:space="preserve">Part A — Final Product Architecture</w:t>
      </w:r>
    </w:p>
    <w:p>
      <w:pPr>
        <w:pStyle w:val="Heading2"/>
        <w:spacing w:after="120" w:before="240"/>
      </w:pPr>
      <w:r>
        <w:rPr>
          <w:b/>
          <w:bCs/>
          <w:color w:val="2E74B5"/>
        </w:rPr>
        <w:t xml:space="preserve">Frontend</w:t>
      </w:r>
    </w:p>
    <w:p>
      <w:pPr>
        <w:pStyle w:val="ListParagraph"/>
        <w:numPr>
          <w:ilvl w:val="0"/>
          <w:numId w:val="1"/>
        </w:numPr>
        <w:spacing w:after="60"/>
      </w:pPr>
      <w:r>
        <w:t xml:space="preserve">React 18 + TypeScript + Vite. Recharts/Nivo for charts, no mapping library in the MVP (no real coordinates yet — Leaflet reserved for the Grand Finale satellite/geocoding work).</w:t>
      </w:r>
    </w:p>
    <w:p>
      <w:pPr>
        <w:pStyle w:val="ListParagraph"/>
        <w:numPr>
          <w:ilvl w:val="0"/>
          <w:numId w:val="1"/>
        </w:numPr>
        <w:spacing w:after="60"/>
      </w:pPr>
      <w:r>
        <w:t xml:space="preserve">Screens: Dashboard Home (risk-ranked work feed), Work Detail (risk card + evidence tabs: Rules / Anomaly / Photos / Duplicates), Alerts Queue, Investigation Form (Confirm/Dismiss/Needs-Investigation), Analytics (fund-utilization trend, agency drill-down), Data Health badge (Source-Freshness Monitor).</w:t>
      </w:r>
    </w:p>
    <w:p>
      <w:pPr>
        <w:pStyle w:val="ListParagraph"/>
        <w:numPr>
          <w:ilvl w:val="0"/>
          <w:numId w:val="1"/>
        </w:numPr>
        <w:spacing w:after="60"/>
      </w:pPr>
      <w:r>
        <w:t xml:space="preserve">Role-scoped views: MP office (own constituency), State Nodal Authority (state-wide), District Authority (district-wide), Ministry (national) — same components, server-side jurisdiction filtering.</w:t>
      </w:r>
    </w:p>
    <w:p>
      <w:pPr>
        <w:pStyle w:val="Heading2"/>
        <w:spacing w:after="120" w:before="240"/>
      </w:pPr>
      <w:r>
        <w:rPr>
          <w:b/>
          <w:bCs/>
          <w:color w:val="2E74B5"/>
        </w:rPr>
        <w:t xml:space="preserve">Backend</w:t>
      </w:r>
    </w:p>
    <w:p>
      <w:pPr>
        <w:pStyle w:val="ListParagraph"/>
        <w:numPr>
          <w:ilvl w:val="0"/>
          <w:numId w:val="1"/>
        </w:numPr>
        <w:spacing w:after="60"/>
      </w:pPr>
      <w:r>
        <w:t xml:space="preserve">FastAPI (Python) — same language as the ML stack, so model/rule code and the API share types with no serialization boundary.</w:t>
      </w:r>
    </w:p>
    <w:p>
      <w:pPr>
        <w:pStyle w:val="ListParagraph"/>
        <w:numPr>
          <w:ilvl w:val="0"/>
          <w:numId w:val="1"/>
        </w:numPr>
        <w:spacing w:after="60"/>
      </w:pPr>
      <w:r>
        <w:t xml:space="preserve">Pydantic schemas for request/response validation; RBAC middleware scopes every query by the caller's jurisdiction.</w:t>
      </w:r>
    </w:p>
    <w:p>
      <w:pPr>
        <w:pStyle w:val="ListParagraph"/>
        <w:numPr>
          <w:ilvl w:val="0"/>
          <w:numId w:val="1"/>
        </w:numPr>
        <w:spacing w:after="60"/>
      </w:pPr>
      <w:r>
        <w:t xml:space="preserve">Background jobs: the pipeline run (ingest → features → engines → fusion) is a scheduled/manually-triggered batch job (APScheduler or a simple cron), not a message-queue system — unnecessary complexity at this data volume and demo scale.</w:t>
      </w:r>
    </w:p>
    <w:p>
      <w:pPr>
        <w:pStyle w:val="ListParagraph"/>
        <w:numPr>
          <w:ilvl w:val="0"/>
          <w:numId w:val="1"/>
        </w:numPr>
        <w:spacing w:after="60"/>
      </w:pPr>
      <w:r>
        <w:t xml:space="preserve">JWT-based auth.</w:t>
      </w:r>
    </w:p>
    <w:p>
      <w:pPr>
        <w:pStyle w:val="Heading2"/>
        <w:spacing w:after="120" w:before="240"/>
      </w:pPr>
      <w:r>
        <w:rPr>
          <w:b/>
          <w:bCs/>
          <w:color w:val="2E74B5"/>
        </w:rPr>
        <w:t xml:space="preserve">Data Layer</w:t>
      </w:r>
    </w:p>
    <w:p>
      <w:pPr>
        <w:pStyle w:val="ListParagraph"/>
        <w:numPr>
          <w:ilvl w:val="0"/>
          <w:numId w:val="1"/>
        </w:numPr>
        <w:spacing w:after="60"/>
      </w:pPr>
      <w:r>
        <w:t xml:space="preserve">PostgreSQL — works, risk scores, alerts, investigations, users, audit log.</w:t>
      </w:r>
    </w:p>
    <w:p>
      <w:pPr>
        <w:pStyle w:val="ListParagraph"/>
        <w:numPr>
          <w:ilvl w:val="0"/>
          <w:numId w:val="1"/>
        </w:numPr>
        <w:spacing w:after="60"/>
      </w:pPr>
      <w:r>
        <w:t xml:space="preserve">Filesystem storage for photos in the demo (S3-compatible object storage in production).</w:t>
      </w:r>
    </w:p>
    <w:p>
      <w:pPr>
        <w:pStyle w:val="ListParagraph"/>
        <w:numPr>
          <w:ilvl w:val="0"/>
          <w:numId w:val="1"/>
        </w:numPr>
        <w:spacing w:after="60"/>
      </w:pPr>
      <w:r>
        <w:t xml:space="preserve">Parquet for the raw/consolidated pipeline output — already the pattern in pipeline/consolidate.py, kept as-is.</w:t>
      </w:r>
    </w:p>
    <w:p>
      <w:pPr>
        <w:pStyle w:val="ListParagraph"/>
        <w:numPr>
          <w:ilvl w:val="0"/>
          <w:numId w:val="1"/>
        </w:numPr>
        <w:spacing w:after="60"/>
      </w:pPr>
      <w:r>
        <w:t xml:space="preserve">Deliberately NOT included in the MVP stack: PostGIS (no real coordinate data yet), Neo4j (no real vendor/graph data yet), a vector database (corpus small enough for in-memory cosine similarity — FAISS is a Future Scope item once national scale is real), Redis (no caching need at demo traffic). Each is called out at its Future Scope trigger condition rather than added speculatively.</w:t>
      </w:r>
    </w:p>
    <w:p>
      <w:pPr>
        <w:pStyle w:val="Heading1"/>
        <w:pageBreakBefore/>
        <w:spacing w:after="200" w:before="200"/>
      </w:pPr>
      <w:r>
        <w:rPr>
          <w:b/>
          <w:bCs/>
          <w:color w:val="1F3864"/>
        </w:rPr>
        <w:t xml:space="preserve">Part B — Complete AI/ML Architecture</w:t>
      </w:r>
    </w:p>
    <w:p>
      <w:pPr>
        <w:spacing w:after="120"/>
      </w:pPr>
      <w:r>
        <w:rPr>
          <w:b w:val="false"/>
          <w:bCs w:val="false"/>
          <w:i w:val="false"/>
          <w:iCs w:val="false"/>
        </w:rPr>
        <w:t xml:space="preserve">One full specification per locked internal-round engine. Every field below is answered against data we actually have — see the Data Reality Check already recorded in project memory.</w:t>
      </w:r>
    </w:p>
    <w:p>
      <w:pPr>
        <w:pStyle w:val="Heading3"/>
        <w:spacing w:after="80" w:before="180"/>
      </w:pPr>
      <w:r>
        <w:rPr>
          <w:b/>
          <w:bCs/>
        </w:rPr>
        <w:t xml:space="preserve">Engine 1 — PolicyCode MPLADS (Rule Engine)</w:t>
      </w:r>
    </w:p>
    <w:p>
      <w:pPr>
        <w:spacing w:after="120"/>
      </w:pPr>
      <w:r>
        <w:rPr>
          <w:b w:val="false"/>
          <w:bCs w:val="false"/>
          <w:i/>
          <w:iCs/>
        </w:rPr>
        <w:t xml:space="preserve">Every MPLADS guideline, turned into a check the system runs automatically.</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Encode MPLADS/GFR guideline clauses as deterministic, explainable checks that run on every work with zero training data.</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Single work record (WORK_CATEGORY, ACTUAL_AMOUNT, ACTUAL_END_DATE, LETTER_NO, FILE_STATUS, image_count, WORK_DESCRIPTION) plus its category/state peer group.</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work.actual_amount, work.actual_end_date, work.sanction_date_proxy, work.file_status, work.image_count, work.category_state_key, work.work_description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Parse LETTER_NO into mp_code/fy_start_year/fy_end_year via regex; compute sanction_date_proxy, duration_days, days_to_fy_end (already built in pipeline/consolidate.py).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Peer-group cost-per-unit z-score/MAD, days_to_fy_end, duration_days percentile within category_state_key, image_count vs category norm, GFR Rule 163 cluster sum.</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Deterministic rules + peer-group statistics (z-score, MAD, percentile). No ML.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Government reviewers need a citable, reproducible reason ("Rule 163", "z-score 3.1"), not a black-box probability; needs zero labelled data.</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None. Thresholds come from GFR/MPLADS guideline text; peer-group statistics recompute on every pipeline run.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Evaluate every rule per work row on each batch pipeline run.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Sub-10L structuring: amount in ₹9,00,000–9,99,999. Cost outlier: |z| &gt; 2.5 or MAD &gt; 3. Fast completion: duration_days below category 5th percentile.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Boolean flag per rule + rule name + short explanation string, per work.</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Rule-trigger count feeds Risk Fusion as a 0–1 "compliance risk" signal, severity-floored for Rule-163 / missing-image hits.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"Flagged: amount ₹9,89,000 is within 1.1% of the ₹10,00,000 sanction-scrutiny threshold (Sub-10L structuring rule)."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Peer-group thresholds validated against real state/category distributions before demo; officer can dismiss with a reason, which feeds the Calibration Engine.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Rule-trigger rate vs a manual audit sample; recall on synthetic fraud-injection cases shaped like each rule.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N/A (rules); peer-group statistics auto-recompute as more data arrives.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Runs on the full scraped dataset; results cached in the risk_signal table.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 logic, triggered on new-work ingestion from the real MPLADS/eSAKSHI feed instead of a batch scrape.</w:t>
            </w:r>
          </w:p>
        </w:tc>
      </w:tr>
    </w:tbl>
    <w:p>
      <w:pPr>
        <w:spacing w:after="100"/>
      </w:pPr>
    </w:p>
    <w:p>
      <w:pPr>
        <w:pStyle w:val="Heading3"/>
        <w:spacing w:after="80" w:before="180"/>
      </w:pPr>
      <w:r>
        <w:rPr>
          <w:b/>
          <w:bCs/>
        </w:rPr>
        <w:t xml:space="preserve">Engine 2 — Isolation Forest Anomaly Engine + Synthetic Fraud-Injection Validator</w:t>
      </w:r>
    </w:p>
    <w:p>
      <w:pPr>
        <w:spacing w:after="120"/>
      </w:pPr>
      <w:r>
        <w:rPr>
          <w:b w:val="false"/>
          <w:bCs w:val="false"/>
          <w:i/>
          <w:iCs/>
        </w:rPr>
        <w:t xml:space="preserve">Finds the outlier no single rule was written to catch — and proves it by catching planted fraud first.</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Catch multivariate outliers no single rule would trip, and prove detection capability without real fraud labels.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Engineered numeric feature vector per work.</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actual_amount (normalized), cost-per-unit z-score, duration_days, image_count, days_to_fy_end, rule_flag_count.</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Per category_state_key normalization/scaling (RobustScaler — resists outlier-skewed means).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The 6 features above, one row per work.</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scikit-learn IsolationForest, fit separately per WORK_CATEGORY (unit costs differ structurally by category).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Unsupervised, handles multivariate outliers, needs no labels, fast on this data volume, explainable via path-length anomaly score + SHAP.</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Fit on the full feature matrix per category; contamination parameter set from an expected outlier rate (~2–5%), not tuned to any label.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score_samples() per work → anomaly score; re-fit on each pipeline run as more data arrives.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anomaly_score below the category-specific 5th percentile → flagged; severity bands from the score distribution.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anomaly_score (continuous), is_anomaly (bool), top contributing features.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Min-max normalized anomaly_score feeds Risk Fusion as "statistical anomaly risk" (0–1).</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SHAP values per feature — "cost-per-unit z-score contributed +0.41 to this work's anomaly score, the largest single contributor."</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Contamination rate capped low; dismissed flags logged and their feature values checked against future contamination tuning.</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Precision@K and recall on the synthetic fraud-injection harness — planted CAG-shaped cases with known ground truth. This is the project's actual answer to "how do you know it works without labels."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Re-fit on each full pipeline run (batch); no online learning in the MVP.</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Fit + score offline, cached in risk_signal; injection harness runs on a separate evaluation copy, never mixed into the real dashboard.</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Scheduled retrain (e.g. monthly); contamination rate recalibrated from confirmed-alert history via the Human-Feedback Calibration Engine.</w:t>
            </w:r>
          </w:p>
        </w:tc>
      </w:tr>
    </w:tbl>
    <w:p>
      <w:pPr>
        <w:spacing w:after="100"/>
      </w:pPr>
    </w:p>
    <w:p>
      <w:pPr>
        <w:pStyle w:val="Heading3"/>
        <w:spacing w:after="80" w:before="180"/>
      </w:pPr>
      <w:r>
        <w:rPr>
          <w:b/>
          <w:bCs/>
        </w:rPr>
        <w:t xml:space="preserve">Engine 3 — Photo-Reuse Engine (pHash + SIFT/ORB) — "Project Doppelgänger: Image"</w:t>
      </w:r>
    </w:p>
    <w:p>
      <w:pPr>
        <w:spacing w:after="120"/>
      </w:pPr>
      <w:r>
        <w:rPr>
          <w:b w:val="false"/>
          <w:bCs w:val="false"/>
          <w:i/>
          <w:iCs/>
        </w:rPr>
        <w:t xml:space="preserve">If a photo already exists somewhere else in MPLADS, we'll find it.</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Detect the same photograph reused across different works or claims — the real CAG-documented phantom/duplicate-claim pattern.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Every downloaded completed-work photo (local_image_filenames).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work_image.filename, work_image.work_id.</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Load images, compute a perceptual hash per image.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64-bit pHash (DCT-based) per image.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imagehash pHash for a full-corpus pairwise Hamming-distance scan; OpenCV SIFT/ORB keypoint matching as a confirmation pass, run only on pHash-flagged candidate pairs.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pHash is robust to recompression/resize/minor crop and needs no training; SIFT/ORB gives stronger, harder-to-dispute evidence for a specific pair without the O(n²) cost of running it on the whole corpus.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None — both are deterministic classical CV, not trained models.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Hash every new photo on ingestion; Hamming distance ≤ 8 → candidate pair → SIFT/ORB confirmation → match / no-match.</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Hamming distance ≤ 8 bits (near-duplicate), ≤ 2 bits (near-exact); SIFT inlier ratio ≥ 0.3 confirms.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duplicate_pair rows: work_id_a, work_id_b, match_type, similarity_score, confirmed (bool).</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Confirmed cross-work-id pairs get a severity-floor "near-certain" contribution regardless of other signals.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Side-by-side photo pair with Hamming distance and SIFT keypoint overlay shown in the dashboard.</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Same-work multi-angle photos are expected and excluded (same work_id); only cross-work_id matches flagged; SIFT confirmation exists specifically to cut pHash false positives before they reach an officer.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Precision on synthetic image-reuse injection cases (a real photo cloned onto a different work_id) plus manual spot-check.</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N/A (deterministic); hash index rebuilt as new photos ingest.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Full photo corpus hashed offline, candidate pairs precomputed and cached.</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Hash computed at photo-upload time in the real MPLADS asset-upload flow, checked against the full national index in real time.</w:t>
            </w:r>
          </w:p>
        </w:tc>
      </w:tr>
    </w:tbl>
    <w:p>
      <w:pPr>
        <w:spacing w:after="100"/>
      </w:pPr>
    </w:p>
    <w:p>
      <w:pPr>
        <w:pStyle w:val="Heading3"/>
        <w:spacing w:after="80" w:before="180"/>
      </w:pPr>
      <w:r>
        <w:rPr>
          <w:b/>
          <w:bCs/>
        </w:rPr>
        <w:t xml:space="preserve">Engine 4 — NLP Duplicate-Work Engine (cross-year) — "Project Doppelgänger: Text"</w:t>
      </w:r>
    </w:p>
    <w:p>
      <w:pPr>
        <w:spacing w:after="120"/>
      </w:pPr>
      <w:r>
        <w:rPr>
          <w:b w:val="false"/>
          <w:bCs w:val="false"/>
          <w:i/>
          <w:iCs/>
        </w:rPr>
        <w:t xml:space="preserve">Catches the same asset claimed twice, even in different words, a year apart.</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Catch the same asset claimed again in a later fiscal year under different wording (real CAG case: a ₹45.2L renovation claimed twice).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WORK_DESCRIPTION text, grouped per MP/constituency, across all fiscal years.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work.work_description, work.mp_code, work.constituency_id, work.fy_start_year.</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Lowercase/clean text, strip boilerplate phrasing.</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Sentence-transformer embedding (all-MiniLM-L6-v2) per work_description.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Sentence-Transformer embeddings + cosine-similarity clustering (agglomerative, distance threshold), scoped per MP/constituency and across fiscal years, not just within one.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A pretrained embedding model needs no MPLADS-specific training data, captures paraphrase-level similarity beyond keyword match, and cross-year scoping is exactly what catches the documented fraud pattern.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None — pretrained model used purely for inference (embedding extraction).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Embed all descriptions per MP/constituency, cluster by cosine distance, check cluster-sum amounts against the GFR Rule 163 sanction threshold.</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Cosine similarity ≥ 0.82 → same-cluster candidate; Rule 163 flag if a cluster's combined amount crosses ₹10L while individual works stay under it.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duplicate_pair rows (match_type = text_semantic), cluster_id, similarity_score.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Cross-year cluster hits get severity-floor treatment, same as confirmed photo matches.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"This work's description is 89% semantically similar to WORK_ID 121183, recommended in FY2023-24 for the same constituency."</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Same-year repeated standard-category descriptions (many similar road works in one constituency) are common and not inherently fraud; cross-year scoping plus amount/photo corroboration is required before "high" severity.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Recall on synthetic cross-year duplicate-claim injection cases; manual review of top clusters.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N/A (pretrained); re-embed and re-cluster on each pipeline run.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Batch embedding + clustering over the full corpus, cached cluster table.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Incremental embedding on new-work ingestion, approximate nearest-neighbour index (e.g. FAISS) for national-scale lookup instead of full pairwise comparison.</w:t>
            </w:r>
          </w:p>
        </w:tc>
      </w:tr>
    </w:tbl>
    <w:p>
      <w:pPr>
        <w:spacing w:after="100"/>
      </w:pPr>
    </w:p>
    <w:p>
      <w:pPr>
        <w:pStyle w:val="Heading3"/>
        <w:spacing w:after="80" w:before="180"/>
      </w:pPr>
      <w:r>
        <w:rPr>
          <w:b/>
          <w:bCs/>
        </w:rPr>
        <w:t xml:space="preserve">Engine 5 — Idle Sanctioned-Fund Detector</w:t>
      </w:r>
    </w:p>
    <w:p>
      <w:pPr>
        <w:spacing w:after="120"/>
      </w:pPr>
      <w:r>
        <w:rPr>
          <w:b w:val="false"/>
          <w:bCs w:val="false"/>
          <w:i/>
          <w:iCs/>
        </w:rPr>
        <w:t xml:space="preserve">Money sanctioned, nothing built — flagged before it's forgotten.</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Flag works where money is committed but execution shows no completion evidence for an unusually long time — the "inefficiency" half of the problem statement's title, distinct from fraud.</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Non-complete FILE_STATUS works, sanction_date_proxy.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work.file_status, work.sanction_date_proxy, work.category_state_key.</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Filter to FILE_STATUS != complete; compute days_since_sanction = today − sanction_date_proxy.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days_since_sanction, category peer-group percentile of days_since_sanction among still-incomplete works.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Statistical percentile threshold vs peer group (same family as Engine 1, kept separate because it targets incomplete, not completed, works).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Simple, explainable, no labels; the anomaly is a plain magnitude comparison, not a multivariate pattern, so IsolationForest would be overkill.</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None.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Recompute days_since_sanction and peer percentile on every pipeline run.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days_since_sanction &gt; category_state_key 90th percentile among incomplete works.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idle_days, peer_percentile, flag.</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Feeds Risk Fusion as "inefficiency risk," weighted lower than fraud-pattern signals — it is explicitly not a fraud accusation.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"This work has been unexecuted for 412 days — longer than 90% of comparable Rural Roads works in Maharashtra."</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Legitimate long-gestation works exist (land acquisition, monsoon delays); labelled "needs inquiry," never "fraud," and the officer can attach a dismissal reason.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Correlation with officer-confirmed "stalled work" designations once feedback accumulates.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N/A.</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Computed at dashboard load from the cached work table.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 computation, refreshed daily against a live FILE_STATUS feed.</w:t>
            </w:r>
          </w:p>
        </w:tc>
      </w:tr>
    </w:tbl>
    <w:p>
      <w:pPr>
        <w:spacing w:after="100"/>
      </w:pPr>
    </w:p>
    <w:p>
      <w:pPr>
        <w:pStyle w:val="Heading3"/>
        <w:spacing w:after="80" w:before="180"/>
      </w:pPr>
      <w:r>
        <w:rPr>
          <w:b/>
          <w:bCs/>
        </w:rPr>
        <w:t xml:space="preserve">Engine 6 — Fund-Absorption Forecast</w:t>
      </w:r>
    </w:p>
    <w:p>
      <w:pPr>
        <w:spacing w:after="120"/>
      </w:pPr>
      <w:r>
        <w:rPr>
          <w:b w:val="false"/>
          <w:bCs w:val="false"/>
          <w:i/>
          <w:iCs/>
        </w:rPr>
        <w:t xml:space="preserve">Warns which MPs and states are on track to leave their budget unused, months before the fiscal year closes.</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Predict which MPs/states are unlikely to fully utilise their MPLADS entitlement in the current cycle — directly answers the "inefficiencies" half of the problem-statement title at a portfolio level.</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Per-MP/state completed-work amounts over time, the known public MPLADS per-MP entitlement.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work.actual_amount, work.actual_end_date, work.mp_code, work.state_name.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Aggregate ACTUAL_AMOUNT by MP/state/quarter; utilization_rate = cumulative spend ÷ entitlement.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Quarterly utilization_rate time series per MP/state.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Simple trend extrapolation — moving average / linear regression on utilization_rate over available quarters. Not deep learning; too little history per MP to justify it.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Only a handful of data points exist per MP so far; a simple, auditable trend line is honest about the data volume and easy for a Ministry official to sanity-check.</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Fit a per-MP (or per-state, when MP-level history is too thin) linear trend on observed quarterly utilization.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Extrapolate to fiscal-year-end, compare to the 100% target.</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Projected year-end utilization &lt; 60% → "at risk of underutilization" flag.</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projected_utilization_pct, trend_direction, flag.</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Feeds a state-level "inefficiency" dashboard KPI, not the per-work fraud risk score.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"At the current pace, this MP is projected to utilise 54% of their FY2025-26 entitlement — utilization has held at 49–58% for the last 3 quarters."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Shown explicitly as a forecast with a confidence band, never as a certainty.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MAE against actual year-end utilization once a full fiscal year of data exists.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Recompute trend on each pipeline run as new quarters land.</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Computed from the currently scraped (partial-year) data, caveated in the UI as low-confidence given short history.</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 method, materially more accurate with multi-year history.</w:t>
            </w:r>
          </w:p>
        </w:tc>
      </w:tr>
    </w:tbl>
    <w:p>
      <w:pPr>
        <w:spacing w:after="100"/>
      </w:pPr>
    </w:p>
    <w:p>
      <w:pPr>
        <w:pStyle w:val="Heading3"/>
        <w:spacing w:after="80" w:before="180"/>
      </w:pPr>
      <w:r>
        <w:rPr>
          <w:b/>
          <w:bCs/>
        </w:rPr>
        <w:t xml:space="preserve">Engine 7 — Risk Fusion Engine</w:t>
      </w:r>
    </w:p>
    <w:p>
      <w:pPr>
        <w:spacing w:after="120"/>
      </w:pPr>
      <w:r>
        <w:rPr>
          <w:b w:val="false"/>
          <w:bCs w:val="false"/>
          <w:i/>
          <w:iCs/>
        </w:rPr>
        <w:t xml:space="preserve">One number, fully explained — never a black-box score.</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Combine every engine's normalized signal into one explainable per-work risk score.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risk_signal rows from Engines 1, 2, 3, 4, 5 for a given work_id.</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risk_signal.normalized_score, risk_signal.engine_name, risk_signal.detail_json.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Ensure every engine's output is normalized to 0–1 before fusion.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None beyond the signals themselves.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Weighted sum with a severity floor: Risk = Σ(weight_i × signal_i), overridden to ≥ 81 ("Critical") if any near-certain signal fires (confirmed cross-work photo match, confirmed Rule 163 cluster, confirmed cross-year duplicate claim).</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One strong, near-certain signal shouldn't be diluted into "Moderate" by three quiet, unrelated signals — the severity floor matches investigator intuition; the weighted sum keeps the whole thing explainable, with no black-box aggregation model.</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Initial weights are expert/rule-defined from the CAG-case severity ranking; not learned in the MVP.</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Recompute per work_id on every pipeline run.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0–30 Low · 31–60 Moderate · 61–80 High · 81–100 Critical.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risk_score (0–100), severity_band, contributing_signals[].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Is itself the output.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The full risk-score card shown in Part J — reasons listed signal-by-signal.</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Every contributing signal is shown individually so an officer disputes a specific signal, not an opaque total.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Precision@Top-K alerts against a manual audit sample; investigator acceptance rate once feedback accumulates.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Weights recalibrated (not "trained") by the Human-Feedback Calibration Engine.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Recomputed at each pipeline run, cached in risk_score table.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 fusion logic, weights periodically recalibrated from accumulated investigator decisions.</w:t>
            </w:r>
          </w:p>
        </w:tc>
      </w:tr>
    </w:tbl>
    <w:p>
      <w:pPr>
        <w:spacing w:after="100"/>
      </w:pPr>
    </w:p>
    <w:p>
      <w:pPr>
        <w:pStyle w:val="Heading3"/>
        <w:spacing w:after="80" w:before="180"/>
      </w:pPr>
      <w:r>
        <w:rPr>
          <w:b/>
          <w:bCs/>
        </w:rPr>
        <w:t xml:space="preserve">Engine 8 — Human-Feedback Calibration Engine</w:t>
      </w:r>
    </w:p>
    <w:p>
      <w:pPr>
        <w:spacing w:after="120"/>
      </w:pPr>
      <w:r>
        <w:rPr>
          <w:b w:val="false"/>
          <w:bCs w:val="false"/>
          <w:i/>
          <w:iCs/>
        </w:rPr>
        <w:t xml:space="preserve">Every dismissed alert makes the next one more accurate.</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Field</w:t>
            </w:r>
          </w:p>
        </w:tc>
        <w:tc>
          <w:tcPr>
            <w:tcW w:type="dxa" w:w="71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Objective</w:t>
            </w:r>
          </w:p>
        </w:tc>
        <w:tc>
          <w:tcPr>
            <w:tcW w:type="dxa" w:w="7100"/>
            <w:tcMar>
              <w:top w:type="dxa" w:w="60"/>
              <w:left w:type="dxa" w:w="100"/>
              <w:bottom w:type="dxa" w:w="60"/>
              <w:right w:type="dxa" w:w="100"/>
            </w:tcMar>
            <w:vAlign w:val="center"/>
          </w:tcPr>
          <w:p>
            <w:r>
              <w:rPr>
                <w:b w:val="false"/>
                <w:bCs w:val="false"/>
                <w:color w:val="000000"/>
                <w:sz w:val="19"/>
                <w:szCs w:val="19"/>
              </w:rPr>
              <w:t xml:space="preserve">Learn from confirmed/dismissed alerts to reduce recurring false positives, without treating every dismissal as ground truth.</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Input</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investigation.decision (confirmed / dismissed / needs_investigation) and the risk_signal contributions behind that alert.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Required DB columns</w:t>
            </w:r>
          </w:p>
        </w:tc>
        <w:tc>
          <w:tcPr>
            <w:tcW w:type="dxa" w:w="7100"/>
            <w:tcMar>
              <w:top w:type="dxa" w:w="60"/>
              <w:left w:type="dxa" w:w="100"/>
              <w:bottom w:type="dxa" w:w="60"/>
              <w:right w:type="dxa" w:w="100"/>
            </w:tcMar>
            <w:vAlign w:val="center"/>
          </w:tcPr>
          <w:p>
            <w:r>
              <w:rPr>
                <w:b w:val="false"/>
                <w:bCs w:val="false"/>
                <w:color w:val="000000"/>
                <w:sz w:val="19"/>
                <w:szCs w:val="19"/>
              </w:rPr>
              <w:t xml:space="preserve">investigation.decision, investigation.reason_text, risk_signal.engine_name, risk_signal.normalized_score.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preparation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Join investigation outcomes back to the signals that produced the original alert.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Features engineered</w:t>
            </w:r>
          </w:p>
        </w:tc>
        <w:tc>
          <w:tcPr>
            <w:tcW w:type="dxa" w:w="7100"/>
            <w:tcMar>
              <w:top w:type="dxa" w:w="60"/>
              <w:left w:type="dxa" w:w="100"/>
              <w:bottom w:type="dxa" w:w="60"/>
              <w:right w:type="dxa" w:w="100"/>
            </w:tcMar>
            <w:vAlign w:val="center"/>
          </w:tcPr>
          <w:p>
            <w:r>
              <w:rPr>
                <w:b w:val="false"/>
                <w:bCs w:val="false"/>
                <w:color w:val="000000"/>
                <w:sz w:val="19"/>
                <w:szCs w:val="19"/>
              </w:rPr>
              <w:t xml:space="preserve">Per-engine confirm-rate and dismiss-rate over a rolling window.</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Algorithm / model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Simple weight recalibration — nudge each engine's Risk Fusion weight up or down proportional to its confirm-rate vs. a neutral baseline (bounded, not a full supervised classifier).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Why this algorithm</w:t>
            </w:r>
          </w:p>
        </w:tc>
        <w:tc>
          <w:tcPr>
            <w:tcW w:type="dxa" w:w="7100"/>
            <w:tcMar>
              <w:top w:type="dxa" w:w="60"/>
              <w:left w:type="dxa" w:w="100"/>
              <w:bottom w:type="dxa" w:w="60"/>
              <w:right w:type="dxa" w:w="100"/>
            </w:tcMar>
            <w:vAlign w:val="center"/>
          </w:tcPr>
          <w:p>
            <w:r>
              <w:rPr>
                <w:b w:val="false"/>
                <w:bCs w:val="false"/>
                <w:color w:val="000000"/>
                <w:sz w:val="19"/>
                <w:szCs w:val="19"/>
              </w:rPr>
              <w:t xml:space="preserve">With confirms/dismissals realistically in the tens-to-hundreds range for a hackathon demo, a full supervised classifier would overfit; a bounded, explainable weight nudge is honest about data volume and directly answers the judge question "does it improve."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Training process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Recompute per-engine confirm-rate on a rolling window after each new decision; cap the adjustment per cycle (e.g. ±10%) so one batch of dismissals can't swing the system.</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Inference process</w:t>
            </w:r>
          </w:p>
        </w:tc>
        <w:tc>
          <w:tcPr>
            <w:tcW w:type="dxa" w:w="7100"/>
            <w:tcMar>
              <w:top w:type="dxa" w:w="60"/>
              <w:left w:type="dxa" w:w="100"/>
              <w:bottom w:type="dxa" w:w="60"/>
              <w:right w:type="dxa" w:w="100"/>
            </w:tcMar>
            <w:vAlign w:val="center"/>
          </w:tcPr>
          <w:p>
            <w:r>
              <w:rPr>
                <w:b w:val="false"/>
                <w:bCs w:val="false"/>
                <w:color w:val="000000"/>
                <w:sz w:val="19"/>
                <w:szCs w:val="19"/>
              </w:rPr>
              <w:t xml:space="preserve">Adjusted weights feed back into Engine 7 on the next fusion run.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Threshold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Minimum N = 10 decisions per engine before its weight is allowed to move from the expert-set default.</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Output</w:t>
            </w:r>
          </w:p>
        </w:tc>
        <w:tc>
          <w:tcPr>
            <w:tcW w:type="dxa" w:w="7100"/>
            <w:tcMar>
              <w:top w:type="dxa" w:w="60"/>
              <w:left w:type="dxa" w:w="100"/>
              <w:bottom w:type="dxa" w:w="60"/>
              <w:right w:type="dxa" w:w="100"/>
            </w:tcMar>
            <w:vAlign w:val="center"/>
          </w:tcPr>
          <w:p>
            <w:r>
              <w:rPr>
                <w:b w:val="false"/>
                <w:bCs w:val="false"/>
                <w:color w:val="000000"/>
                <w:sz w:val="19"/>
                <w:szCs w:val="19"/>
              </w:rPr>
              <w:t xml:space="preserve">Updated per-engine weight; confirm-rate / dismiss-rate dashboard panel.</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Confidence / risk score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Not itself a score — a meta-layer over Engine 7.</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Explainability (example)</w:t>
            </w:r>
          </w:p>
        </w:tc>
        <w:tc>
          <w:tcPr>
            <w:tcW w:type="dxa" w:w="7100"/>
            <w:tcMar>
              <w:top w:type="dxa" w:w="60"/>
              <w:left w:type="dxa" w:w="100"/>
              <w:bottom w:type="dxa" w:w="60"/>
              <w:right w:type="dxa" w:w="100"/>
            </w:tcMar>
            <w:vAlign w:val="center"/>
          </w:tcPr>
          <w:p>
            <w:r>
              <w:rPr>
                <w:b w:val="false"/>
                <w:bCs w:val="false"/>
                <w:color w:val="000000"/>
                <w:sz w:val="19"/>
                <w:szCs w:val="19"/>
              </w:rPr>
              <w:t xml:space="preserve">"Missing-Images rule weight reduced from 0.20 to 0.17 after 14/40 recent flags were dismissed as 'photos pending upload, not phantom work.'"</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False-positive handling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This is the false-positive-handling mechanism for the whole platform.</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Evaluation metric</w:t>
            </w:r>
          </w:p>
        </w:tc>
        <w:tc>
          <w:tcPr>
            <w:tcW w:type="dxa" w:w="7100"/>
            <w:tcMar>
              <w:top w:type="dxa" w:w="60"/>
              <w:left w:type="dxa" w:w="100"/>
              <w:bottom w:type="dxa" w:w="60"/>
              <w:right w:type="dxa" w:w="100"/>
            </w:tcMar>
            <w:vAlign w:val="center"/>
          </w:tcPr>
          <w:p>
            <w:r>
              <w:rPr>
                <w:b w:val="false"/>
                <w:bCs w:val="false"/>
                <w:color w:val="000000"/>
                <w:sz w:val="19"/>
                <w:szCs w:val="19"/>
              </w:rPr>
              <w:t xml:space="preserve">Trend of investigator dismiss-rate over time (should fall as calibration runs).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Retraining strategy</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Rolling-window recompute, e.g. weekly or every N new decisions.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Demo implementation</w:t>
            </w:r>
          </w:p>
        </w:tc>
        <w:tc>
          <w:tcPr>
            <w:tcW w:type="dxa" w:w="7100"/>
            <w:tcMar>
              <w:top w:type="dxa" w:w="60"/>
              <w:left w:type="dxa" w:w="100"/>
              <w:bottom w:type="dxa" w:w="60"/>
              <w:right w:type="dxa" w:w="100"/>
            </w:tcMar>
            <w:vAlign w:val="center"/>
          </w:tcPr>
          <w:p>
            <w:r>
              <w:rPr>
                <w:b w:val="false"/>
                <w:bCs w:val="false"/>
                <w:color w:val="000000"/>
                <w:sz w:val="19"/>
                <w:szCs w:val="19"/>
              </w:rPr>
              <w:t xml:space="preserve">Seeded with a small set of demo investigator decisions to show the weight-adjustment mechanic live.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Production implementation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Same mechanism at real investigator-decision volume, with a Ministry-level override on any weight change beyond the cap.</w:t>
            </w:r>
          </w:p>
        </w:tc>
      </w:tr>
    </w:tbl>
    <w:p>
      <w:pPr>
        <w:spacing w:after="100"/>
      </w:pPr>
    </w:p>
    <w:p>
      <w:pPr>
        <w:pStyle w:val="Heading1"/>
        <w:pageBreakBefore/>
        <w:spacing w:after="200" w:before="200"/>
      </w:pPr>
      <w:r>
        <w:rPr>
          <w:b/>
          <w:bCs/>
          <w:color w:val="1F3864"/>
        </w:rPr>
        <w:t xml:space="preserve">Part C — Complete Data Pipeline</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Stage</w:t>
            </w:r>
          </w:p>
        </w:tc>
        <w:tc>
          <w:tcPr>
            <w:tcW w:type="dxa" w:w="6900"/>
            <w:shd w:fill="1F3864" w:val="clear"/>
            <w:tcMar>
              <w:top w:type="dxa" w:w="60"/>
              <w:left w:type="dxa" w:w="100"/>
              <w:bottom w:type="dxa" w:w="60"/>
              <w:right w:type="dxa" w:w="100"/>
            </w:tcMar>
            <w:vAlign w:val="center"/>
          </w:tcPr>
          <w:p>
            <w:r>
              <w:rPr>
                <w:b/>
                <w:bCs/>
                <w:color w:val="FFFFFF"/>
                <w:sz w:val="19"/>
                <w:szCs w:val="19"/>
              </w:rPr>
              <w:t xml:space="preserve">What happens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Public Data</w:t>
            </w:r>
          </w:p>
        </w:tc>
        <w:tc>
          <w:tcPr>
            <w:tcW w:type="dxa" w:w="6900"/>
            <w:tcMar>
              <w:top w:type="dxa" w:w="60"/>
              <w:left w:type="dxa" w:w="100"/>
              <w:bottom w:type="dxa" w:w="60"/>
              <w:right w:type="dxa" w:w="100"/>
            </w:tcMar>
            <w:vAlign w:val="center"/>
          </w:tcPr>
          <w:p>
            <w:r>
              <w:rPr>
                <w:b w:val="false"/>
                <w:bCs w:val="false"/>
                <w:color w:val="000000"/>
                <w:sz w:val="19"/>
                <w:szCs w:val="19"/>
              </w:rPr>
              <w:t xml:space="preserve">mplads.mospi.gov.in internal REST API, per-constituency scrape.</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Ingestion</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mplads_india_downloader.py — resumable via _progress.json, writes per-constituency works_with_images.csv + photos.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Schema Validation</w:t>
            </w:r>
          </w:p>
        </w:tc>
        <w:tc>
          <w:tcPr>
            <w:tcW w:type="dxa" w:w="6900"/>
            <w:tcMar>
              <w:top w:type="dxa" w:w="60"/>
              <w:left w:type="dxa" w:w="100"/>
              <w:bottom w:type="dxa" w:w="60"/>
              <w:right w:type="dxa" w:w="100"/>
            </w:tcMar>
            <w:vAlign w:val="center"/>
          </w:tcPr>
          <w:p>
            <w:r>
              <w:rPr>
                <w:b w:val="false"/>
                <w:bCs w:val="false"/>
                <w:color w:val="000000"/>
                <w:sz w:val="19"/>
                <w:szCs w:val="19"/>
              </w:rPr>
              <w:t xml:space="preserve">New Schema/Value Validator pass: reject/flag negative amounts, malformed dates, unparseable LETTER_NO, impossible FY sequences.</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Cleaning</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Whitespace/tab stripping in LETTER_NO (real records contain stray whitespace mid-string), text normalization (upper-case, trim).</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Normalization</w:t>
            </w:r>
          </w:p>
        </w:tc>
        <w:tc>
          <w:tcPr>
            <w:tcW w:type="dxa" w:w="6900"/>
            <w:tcMar>
              <w:top w:type="dxa" w:w="60"/>
              <w:left w:type="dxa" w:w="100"/>
              <w:bottom w:type="dxa" w:w="60"/>
              <w:right w:type="dxa" w:w="100"/>
            </w:tcMar>
            <w:vAlign w:val="center"/>
          </w:tcPr>
          <w:p>
            <w:r>
              <w:rPr>
                <w:b w:val="false"/>
                <w:bCs w:val="false"/>
                <w:color w:val="000000"/>
                <w:sz w:val="19"/>
                <w:szCs w:val="19"/>
              </w:rPr>
              <w:t xml:space="preserve">state_norm / ida_norm / mp_norm / category_norm; category_state_key peer-group key.</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Entity Resolution</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MP/IDA/state name normalization (already handled); no cross-system linkage yet — only one source system is available.</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Feature Engineering</w:t>
            </w:r>
          </w:p>
        </w:tc>
        <w:tc>
          <w:tcPr>
            <w:tcW w:type="dxa" w:w="6900"/>
            <w:tcMar>
              <w:top w:type="dxa" w:w="60"/>
              <w:left w:type="dxa" w:w="100"/>
              <w:bottom w:type="dxa" w:w="60"/>
              <w:right w:type="dxa" w:w="100"/>
            </w:tcMar>
            <w:vAlign w:val="center"/>
          </w:tcPr>
          <w:p>
            <w:r>
              <w:rPr>
                <w:b w:val="false"/>
                <w:bCs w:val="false"/>
                <w:color w:val="000000"/>
                <w:sz w:val="19"/>
                <w:szCs w:val="19"/>
              </w:rPr>
              <w:t xml:space="preserve">sanction_date_proxy, duration_days, days_to_fy_end, has_images, plus the idle-fund and utilization aggregates added for Engines 5–6.</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Detection Engines</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Engines 1–5 run per work / per photo / per description cluster.</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Risk Aggregation</w:t>
            </w:r>
          </w:p>
        </w:tc>
        <w:tc>
          <w:tcPr>
            <w:tcW w:type="dxa" w:w="6900"/>
            <w:tcMar>
              <w:top w:type="dxa" w:w="60"/>
              <w:left w:type="dxa" w:w="100"/>
              <w:bottom w:type="dxa" w:w="60"/>
              <w:right w:type="dxa" w:w="100"/>
            </w:tcMar>
            <w:vAlign w:val="center"/>
          </w:tcPr>
          <w:p>
            <w:r>
              <w:rPr>
                <w:b w:val="false"/>
                <w:bCs w:val="false"/>
                <w:color w:val="000000"/>
                <w:sz w:val="19"/>
                <w:szCs w:val="19"/>
              </w:rPr>
              <w:t xml:space="preserve">Engine 7 — Risk Fusion.</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Explainability</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Each engine's detail_json rendered into an officer-readable reason string.</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Alert Generation</w:t>
            </w:r>
          </w:p>
        </w:tc>
        <w:tc>
          <w:tcPr>
            <w:tcW w:type="dxa" w:w="6900"/>
            <w:tcMar>
              <w:top w:type="dxa" w:w="60"/>
              <w:left w:type="dxa" w:w="100"/>
              <w:bottom w:type="dxa" w:w="60"/>
              <w:right w:type="dxa" w:w="100"/>
            </w:tcMar>
            <w:vAlign w:val="center"/>
          </w:tcPr>
          <w:p>
            <w:r>
              <w:rPr>
                <w:b w:val="false"/>
                <w:bCs w:val="false"/>
                <w:color w:val="000000"/>
                <w:sz w:val="19"/>
                <w:szCs w:val="19"/>
              </w:rPr>
              <w:t xml:space="preserve">risk_score ≥ 61 (High/Critical) creates an alert row.</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Investigator Review</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NAZAR Command Centre dashboard.</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Feedback</w:t>
            </w:r>
          </w:p>
        </w:tc>
        <w:tc>
          <w:tcPr>
            <w:tcW w:type="dxa" w:w="6900"/>
            <w:tcMar>
              <w:top w:type="dxa" w:w="60"/>
              <w:left w:type="dxa" w:w="100"/>
              <w:bottom w:type="dxa" w:w="60"/>
              <w:right w:type="dxa" w:w="100"/>
            </w:tcMar>
            <w:vAlign w:val="center"/>
          </w:tcPr>
          <w:p>
            <w:r>
              <w:rPr>
                <w:b w:val="false"/>
                <w:bCs w:val="false"/>
                <w:color w:val="000000"/>
                <w:sz w:val="19"/>
                <w:szCs w:val="19"/>
              </w:rPr>
              <w:t xml:space="preserve">investigation.decision written back.</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Model/Rule Improvement</w:t>
            </w:r>
          </w:p>
        </w:tc>
        <w:tc>
          <w:tcPr>
            <w:tcW w:type="dxa" w:w="6900"/>
            <w:shd w:fill="F2F2F2" w:val="clear"/>
            <w:tcMar>
              <w:top w:type="dxa" w:w="60"/>
              <w:left w:type="dxa" w:w="100"/>
              <w:bottom w:type="dxa" w:w="60"/>
              <w:right w:type="dxa" w:w="100"/>
            </w:tcMar>
            <w:vAlign w:val="center"/>
          </w:tcPr>
          <w:p>
            <w:r>
              <w:rPr>
                <w:b w:val="false"/>
                <w:bCs w:val="false"/>
                <w:color w:val="000000"/>
                <w:sz w:val="19"/>
                <w:szCs w:val="19"/>
              </w:rPr>
              <w:t xml:space="preserve">Engine 8 — Human-Feedback Calibration.</w:t>
            </w:r>
          </w:p>
        </w:tc>
      </w:tr>
    </w:tbl>
    <w:p>
      <w:pPr>
        <w:pStyle w:val="Heading1"/>
        <w:pageBreakBefore/>
        <w:spacing w:after="200" w:before="200"/>
      </w:pPr>
      <w:r>
        <w:rPr>
          <w:b/>
          <w:bCs/>
          <w:color w:val="1F3864"/>
        </w:rPr>
        <w:t xml:space="preserve">Part D — Database Design</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1700"/>
        <w:gridCol w:w="1700"/>
        <w:gridCol w:w="5900"/>
      </w:tblGrid>
      <w:tr>
        <w:trPr>
          <w:tblHeader/>
        </w:trPr>
        <w:tc>
          <w:tcPr>
            <w:tcW w:type="dxa" w:w="1700"/>
            <w:shd w:fill="1F3864" w:val="clear"/>
            <w:tcMar>
              <w:top w:type="dxa" w:w="60"/>
              <w:left w:type="dxa" w:w="100"/>
              <w:bottom w:type="dxa" w:w="60"/>
              <w:right w:type="dxa" w:w="100"/>
            </w:tcMar>
            <w:vAlign w:val="center"/>
          </w:tcPr>
          <w:p>
            <w:r>
              <w:rPr>
                <w:b/>
                <w:bCs/>
                <w:color w:val="FFFFFF"/>
                <w:sz w:val="19"/>
                <w:szCs w:val="19"/>
              </w:rPr>
              <w:t xml:space="preserve">Table</w:t>
            </w:r>
          </w:p>
        </w:tc>
        <w:tc>
          <w:tcPr>
            <w:tcW w:type="dxa" w:w="1700"/>
            <w:shd w:fill="1F3864" w:val="clear"/>
            <w:tcMar>
              <w:top w:type="dxa" w:w="60"/>
              <w:left w:type="dxa" w:w="100"/>
              <w:bottom w:type="dxa" w:w="60"/>
              <w:right w:type="dxa" w:w="100"/>
            </w:tcMar>
            <w:vAlign w:val="center"/>
          </w:tcPr>
          <w:p>
            <w:r>
              <w:rPr>
                <w:b/>
                <w:bCs/>
                <w:color w:val="FFFFFF"/>
                <w:sz w:val="19"/>
                <w:szCs w:val="19"/>
              </w:rPr>
              <w:t xml:space="preserve">Primary Key</w:t>
            </w:r>
          </w:p>
        </w:tc>
        <w:tc>
          <w:tcPr>
            <w:tcW w:type="dxa" w:w="5900"/>
            <w:shd w:fill="1F3864" w:val="clear"/>
            <w:tcMar>
              <w:top w:type="dxa" w:w="60"/>
              <w:left w:type="dxa" w:w="100"/>
              <w:bottom w:type="dxa" w:w="60"/>
              <w:right w:type="dxa" w:w="100"/>
            </w:tcMar>
            <w:vAlign w:val="center"/>
          </w:tcPr>
          <w:p>
            <w:r>
              <w:rPr>
                <w:b/>
                <w:bCs/>
                <w:color w:val="FFFFFF"/>
                <w:sz w:val="19"/>
                <w:szCs w:val="19"/>
              </w:rPr>
              <w:t xml:space="preserve">Key attributes / relationships</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mp</w:t>
            </w:r>
          </w:p>
        </w:tc>
        <w:tc>
          <w:tcPr>
            <w:tcW w:type="dxa" w:w="1700"/>
            <w:tcMar>
              <w:top w:type="dxa" w:w="60"/>
              <w:left w:type="dxa" w:w="100"/>
              <w:bottom w:type="dxa" w:w="60"/>
              <w:right w:type="dxa" w:w="100"/>
            </w:tcMar>
            <w:vAlign w:val="center"/>
          </w:tcPr>
          <w:p>
            <w:r>
              <w:rPr>
                <w:b w:val="false"/>
                <w:bCs w:val="false"/>
                <w:color w:val="000000"/>
                <w:sz w:val="19"/>
                <w:szCs w:val="19"/>
              </w:rPr>
              <w:t xml:space="preserve">mp_id</w:t>
            </w:r>
          </w:p>
        </w:tc>
        <w:tc>
          <w:tcPr>
            <w:tcW w:type="dxa" w:w="5900"/>
            <w:tcMar>
              <w:top w:type="dxa" w:w="60"/>
              <w:left w:type="dxa" w:w="100"/>
              <w:bottom w:type="dxa" w:w="60"/>
              <w:right w:type="dxa" w:w="100"/>
            </w:tcMar>
            <w:vAlign w:val="center"/>
          </w:tcPr>
          <w:p>
            <w:r>
              <w:rPr>
                <w:b w:val="false"/>
                <w:bCs w:val="false"/>
                <w:color w:val="000000"/>
                <w:sz w:val="19"/>
                <w:szCs w:val="19"/>
              </w:rPr>
              <w:t xml:space="preserve">mp_name, mp_code, state_name, tenure_start, tenure_end (nullable — populated only when Outgoing-MP Closure Tracker, Grand Finale, is built)</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constituency</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constituency_id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constituency_name, state_name, FK mp_id → mp</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implementing_agency</w:t>
            </w:r>
          </w:p>
        </w:tc>
        <w:tc>
          <w:tcPr>
            <w:tcW w:type="dxa" w:w="1700"/>
            <w:tcMar>
              <w:top w:type="dxa" w:w="60"/>
              <w:left w:type="dxa" w:w="100"/>
              <w:bottom w:type="dxa" w:w="60"/>
              <w:right w:type="dxa" w:w="100"/>
            </w:tcMar>
            <w:vAlign w:val="center"/>
          </w:tcPr>
          <w:p>
            <w:r>
              <w:rPr>
                <w:b w:val="false"/>
                <w:bCs w:val="false"/>
                <w:color w:val="000000"/>
                <w:sz w:val="19"/>
                <w:szCs w:val="19"/>
              </w:rPr>
              <w:t xml:space="preserve">ida_id</w:t>
            </w:r>
          </w:p>
        </w:tc>
        <w:tc>
          <w:tcPr>
            <w:tcW w:type="dxa" w:w="5900"/>
            <w:tcMar>
              <w:top w:type="dxa" w:w="60"/>
              <w:left w:type="dxa" w:w="100"/>
              <w:bottom w:type="dxa" w:w="60"/>
              <w:right w:type="dxa" w:w="100"/>
            </w:tcMar>
            <w:vAlign w:val="center"/>
          </w:tcPr>
          <w:p>
            <w:r>
              <w:rPr>
                <w:b w:val="false"/>
                <w:bCs w:val="false"/>
                <w:color w:val="000000"/>
                <w:sz w:val="19"/>
                <w:szCs w:val="19"/>
              </w:rPr>
              <w:t xml:space="preserve">ida_name, ida_type (district_collector/municipal/zilla_parishad/trust/cooperative/other — CAG case flag: non-standard IDA type), state_name</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work</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work_id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FK constituency_id, FK ida_id, work_category, activity_name, work_description, letter_no, mp_code, fy_start_year, fy_end_year, sanction_date_proxy, actual_end_date, actual_amount, file_status, average_rating, duration_days, days_to_fy_end, category_state_key, source_csv, ingested_at</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work_image</w:t>
            </w:r>
          </w:p>
        </w:tc>
        <w:tc>
          <w:tcPr>
            <w:tcW w:type="dxa" w:w="1700"/>
            <w:tcMar>
              <w:top w:type="dxa" w:w="60"/>
              <w:left w:type="dxa" w:w="100"/>
              <w:bottom w:type="dxa" w:w="60"/>
              <w:right w:type="dxa" w:w="100"/>
            </w:tcMar>
            <w:vAlign w:val="center"/>
          </w:tcPr>
          <w:p>
            <w:r>
              <w:rPr>
                <w:b w:val="false"/>
                <w:bCs w:val="false"/>
                <w:color w:val="000000"/>
                <w:sz w:val="19"/>
                <w:szCs w:val="19"/>
              </w:rPr>
              <w:t xml:space="preserve">image_id</w:t>
            </w:r>
          </w:p>
        </w:tc>
        <w:tc>
          <w:tcPr>
            <w:tcW w:type="dxa" w:w="5900"/>
            <w:tcMar>
              <w:top w:type="dxa" w:w="60"/>
              <w:left w:type="dxa" w:w="100"/>
              <w:bottom w:type="dxa" w:w="60"/>
              <w:right w:type="dxa" w:w="100"/>
            </w:tcMar>
            <w:vAlign w:val="center"/>
          </w:tcPr>
          <w:p>
            <w:r>
              <w:rPr>
                <w:b w:val="false"/>
                <w:bCs w:val="false"/>
                <w:color w:val="000000"/>
                <w:sz w:val="19"/>
                <w:szCs w:val="19"/>
              </w:rPr>
              <w:t xml:space="preserve">FK work_id, filename, phash, exif_present (bool — always false on current real data)</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duplicate_pair</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pair_id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FK work_id_a, FK work_id_b, match_type (photo_exact/photo_near/text_semantic), similarity_score, confirmed (bool), status</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risk_signal</w:t>
            </w:r>
          </w:p>
        </w:tc>
        <w:tc>
          <w:tcPr>
            <w:tcW w:type="dxa" w:w="1700"/>
            <w:tcMar>
              <w:top w:type="dxa" w:w="60"/>
              <w:left w:type="dxa" w:w="100"/>
              <w:bottom w:type="dxa" w:w="60"/>
              <w:right w:type="dxa" w:w="100"/>
            </w:tcMar>
            <w:vAlign w:val="center"/>
          </w:tcPr>
          <w:p>
            <w:r>
              <w:rPr>
                <w:b w:val="false"/>
                <w:bCs w:val="false"/>
                <w:color w:val="000000"/>
                <w:sz w:val="19"/>
                <w:szCs w:val="19"/>
              </w:rPr>
              <w:t xml:space="preserve">signal_id</w:t>
            </w:r>
          </w:p>
        </w:tc>
        <w:tc>
          <w:tcPr>
            <w:tcW w:type="dxa" w:w="5900"/>
            <w:tcMar>
              <w:top w:type="dxa" w:w="60"/>
              <w:left w:type="dxa" w:w="100"/>
              <w:bottom w:type="dxa" w:w="60"/>
              <w:right w:type="dxa" w:w="100"/>
            </w:tcMar>
            <w:vAlign w:val="center"/>
          </w:tcPr>
          <w:p>
            <w:r>
              <w:rPr>
                <w:b w:val="false"/>
                <w:bCs w:val="false"/>
                <w:color w:val="000000"/>
                <w:sz w:val="19"/>
                <w:szCs w:val="19"/>
              </w:rPr>
              <w:t xml:space="preserve">FK work_id, engine_name, raw_score, normalized_score, rule_triggered (bool), detail_json</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risk_score</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work_id (FK)</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overall_score, severity_band, computed_at, contributing_signals_json, FK model_version_id</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alert</w:t>
            </w:r>
          </w:p>
        </w:tc>
        <w:tc>
          <w:tcPr>
            <w:tcW w:type="dxa" w:w="1700"/>
            <w:tcMar>
              <w:top w:type="dxa" w:w="60"/>
              <w:left w:type="dxa" w:w="100"/>
              <w:bottom w:type="dxa" w:w="60"/>
              <w:right w:type="dxa" w:w="100"/>
            </w:tcMar>
            <w:vAlign w:val="center"/>
          </w:tcPr>
          <w:p>
            <w:r>
              <w:rPr>
                <w:b w:val="false"/>
                <w:bCs w:val="false"/>
                <w:color w:val="000000"/>
                <w:sz w:val="19"/>
                <w:szCs w:val="19"/>
              </w:rPr>
              <w:t xml:space="preserve">alert_id</w:t>
            </w:r>
          </w:p>
        </w:tc>
        <w:tc>
          <w:tcPr>
            <w:tcW w:type="dxa" w:w="5900"/>
            <w:tcMar>
              <w:top w:type="dxa" w:w="60"/>
              <w:left w:type="dxa" w:w="100"/>
              <w:bottom w:type="dxa" w:w="60"/>
              <w:right w:type="dxa" w:w="100"/>
            </w:tcMar>
            <w:vAlign w:val="center"/>
          </w:tcPr>
          <w:p>
            <w:r>
              <w:rPr>
                <w:b w:val="false"/>
                <w:bCs w:val="false"/>
                <w:color w:val="000000"/>
                <w:sz w:val="19"/>
                <w:szCs w:val="19"/>
              </w:rPr>
              <w:t xml:space="preserve">FK work_id, FK risk_score_id, severity, status (open/assigned/reviewed), created_at</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investigation</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investigation_id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FK alert_id, FK reviewer_user_id, decision (confirmed/dismissed/needs_investigation), reason_text, decided_at</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feedback</w:t>
            </w:r>
          </w:p>
        </w:tc>
        <w:tc>
          <w:tcPr>
            <w:tcW w:type="dxa" w:w="1700"/>
            <w:tcMar>
              <w:top w:type="dxa" w:w="60"/>
              <w:left w:type="dxa" w:w="100"/>
              <w:bottom w:type="dxa" w:w="60"/>
              <w:right w:type="dxa" w:w="100"/>
            </w:tcMar>
            <w:vAlign w:val="center"/>
          </w:tcPr>
          <w:p>
            <w:r>
              <w:rPr>
                <w:b w:val="false"/>
                <w:bCs w:val="false"/>
                <w:color w:val="000000"/>
                <w:sz w:val="19"/>
                <w:szCs w:val="19"/>
              </w:rPr>
              <w:t xml:space="preserve">feedback_id</w:t>
            </w:r>
          </w:p>
        </w:tc>
        <w:tc>
          <w:tcPr>
            <w:tcW w:type="dxa" w:w="5900"/>
            <w:tcMar>
              <w:top w:type="dxa" w:w="60"/>
              <w:left w:type="dxa" w:w="100"/>
              <w:bottom w:type="dxa" w:w="60"/>
              <w:right w:type="dxa" w:w="100"/>
            </w:tcMar>
            <w:vAlign w:val="center"/>
          </w:tcPr>
          <w:p>
            <w:r>
              <w:rPr>
                <w:b w:val="false"/>
                <w:bCs w:val="false"/>
                <w:color w:val="000000"/>
                <w:sz w:val="19"/>
                <w:szCs w:val="19"/>
              </w:rPr>
              <w:t xml:space="preserve">FK investigation_id, engine_name, weight_adjustment_json, applied_at</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model_version</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model_version_id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engine_name, trained_at, params_json, eval_metrics_json</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fraud_injection_case</w:t>
            </w:r>
          </w:p>
        </w:tc>
        <w:tc>
          <w:tcPr>
            <w:tcW w:type="dxa" w:w="1700"/>
            <w:tcMar>
              <w:top w:type="dxa" w:w="60"/>
              <w:left w:type="dxa" w:w="100"/>
              <w:bottom w:type="dxa" w:w="60"/>
              <w:right w:type="dxa" w:w="100"/>
            </w:tcMar>
            <w:vAlign w:val="center"/>
          </w:tcPr>
          <w:p>
            <w:r>
              <w:rPr>
                <w:b w:val="false"/>
                <w:bCs w:val="false"/>
                <w:color w:val="000000"/>
                <w:sz w:val="19"/>
                <w:szCs w:val="19"/>
              </w:rPr>
              <w:t xml:space="preserve">case_id</w:t>
            </w:r>
          </w:p>
        </w:tc>
        <w:tc>
          <w:tcPr>
            <w:tcW w:type="dxa" w:w="5900"/>
            <w:tcMar>
              <w:top w:type="dxa" w:w="60"/>
              <w:left w:type="dxa" w:w="100"/>
              <w:bottom w:type="dxa" w:w="60"/>
              <w:right w:type="dxa" w:w="100"/>
            </w:tcMar>
            <w:vAlign w:val="center"/>
          </w:tcPr>
          <w:p>
            <w:r>
              <w:rPr>
                <w:b w:val="false"/>
                <w:bCs w:val="false"/>
                <w:color w:val="000000"/>
                <w:sz w:val="19"/>
                <w:szCs w:val="19"/>
              </w:rPr>
              <w:t xml:space="preserve">pattern_name, FK source_work_id (nullable), FK injected_work_id, ground_truth_label, detected (bool), detected_by_engine, run_id — isolated to an evaluation schema, never joined into user-facing views</w:t>
            </w:r>
          </w:p>
        </w:tc>
      </w:tr>
      <w:tr>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user_account</w:t>
            </w:r>
          </w:p>
        </w:tc>
        <w:tc>
          <w:tcPr>
            <w:tcW w:type="dxa" w:w="1700"/>
            <w:shd w:fill="F2F2F2" w:val="clear"/>
            <w:tcMar>
              <w:top w:type="dxa" w:w="60"/>
              <w:left w:type="dxa" w:w="100"/>
              <w:bottom w:type="dxa" w:w="60"/>
              <w:right w:type="dxa" w:w="100"/>
            </w:tcMar>
            <w:vAlign w:val="center"/>
          </w:tcPr>
          <w:p>
            <w:r>
              <w:rPr>
                <w:b w:val="false"/>
                <w:bCs w:val="false"/>
                <w:color w:val="000000"/>
                <w:sz w:val="19"/>
                <w:szCs w:val="19"/>
              </w:rPr>
              <w:t xml:space="preserve">user_id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name, role (mp_office/state_nodal/district_authority/ministry/admin), jurisdiction_scope, email</w:t>
            </w:r>
          </w:p>
        </w:tc>
      </w:tr>
      <w:tr>
        <w:tc>
          <w:tcPr>
            <w:tcW w:type="dxa" w:w="1700"/>
            <w:tcMar>
              <w:top w:type="dxa" w:w="60"/>
              <w:left w:type="dxa" w:w="100"/>
              <w:bottom w:type="dxa" w:w="60"/>
              <w:right w:type="dxa" w:w="100"/>
            </w:tcMar>
            <w:vAlign w:val="center"/>
          </w:tcPr>
          <w:p>
            <w:r>
              <w:rPr>
                <w:b w:val="false"/>
                <w:bCs w:val="false"/>
                <w:color w:val="000000"/>
                <w:sz w:val="19"/>
                <w:szCs w:val="19"/>
              </w:rPr>
              <w:t xml:space="preserve">audit_log</w:t>
            </w:r>
          </w:p>
        </w:tc>
        <w:tc>
          <w:tcPr>
            <w:tcW w:type="dxa" w:w="1700"/>
            <w:tcMar>
              <w:top w:type="dxa" w:w="60"/>
              <w:left w:type="dxa" w:w="100"/>
              <w:bottom w:type="dxa" w:w="60"/>
              <w:right w:type="dxa" w:w="100"/>
            </w:tcMar>
            <w:vAlign w:val="center"/>
          </w:tcPr>
          <w:p>
            <w:r>
              <w:rPr>
                <w:b w:val="false"/>
                <w:bCs w:val="false"/>
                <w:color w:val="000000"/>
                <w:sz w:val="19"/>
                <w:szCs w:val="19"/>
              </w:rPr>
              <w:t xml:space="preserve">log_id</w:t>
            </w:r>
          </w:p>
        </w:tc>
        <w:tc>
          <w:tcPr>
            <w:tcW w:type="dxa" w:w="5900"/>
            <w:tcMar>
              <w:top w:type="dxa" w:w="60"/>
              <w:left w:type="dxa" w:w="100"/>
              <w:bottom w:type="dxa" w:w="60"/>
              <w:right w:type="dxa" w:w="100"/>
            </w:tcMar>
            <w:vAlign w:val="center"/>
          </w:tcPr>
          <w:p>
            <w:r>
              <w:rPr>
                <w:b w:val="false"/>
                <w:bCs w:val="false"/>
                <w:color w:val="000000"/>
                <w:sz w:val="19"/>
                <w:szCs w:val="19"/>
              </w:rPr>
              <w:t xml:space="preserve">FK user_id, action, entity_type, entity_id, timestamp, ip_address</w:t>
            </w:r>
          </w:p>
        </w:tc>
      </w:tr>
    </w:tbl>
    <w:p>
      <w:pPr>
        <w:pStyle w:val="Heading1"/>
        <w:pageBreakBefore/>
        <w:spacing w:after="200" w:before="200"/>
      </w:pPr>
      <w:r>
        <w:rPr>
          <w:b/>
          <w:bCs/>
          <w:color w:val="1F3864"/>
        </w:rPr>
        <w:t xml:space="preserve">Part E — API Design</w:t>
      </w:r>
    </w:p>
    <w:tbl>
      <w:tblPr>
        <w:tblW w:type="dxa" w:w="9200"/>
        <w:tblBorders>
          <w:top w:val="single" w:color="999999" w:sz="2"/>
          <w:left w:val="single" w:color="999999" w:sz="2"/>
          <w:bottom w:val="single" w:color="999999" w:sz="2"/>
          <w:right w:val="single" w:color="999999" w:sz="2"/>
          <w:insideH w:val="single" w:color="CCCCCC" w:sz="2"/>
          <w:insideV w:val="single" w:color="CCCCCC" w:sz="2"/>
        </w:tblBorders>
      </w:tblPr>
      <w:tblGrid>
        <w:gridCol w:w="1000"/>
        <w:gridCol w:w="2300"/>
        <w:gridCol w:w="5900"/>
      </w:tblGrid>
      <w:tr>
        <w:trPr>
          <w:tblHeader/>
        </w:trPr>
        <w:tc>
          <w:tcPr>
            <w:tcW w:type="dxa" w:w="1000"/>
            <w:shd w:fill="1F3864" w:val="clear"/>
            <w:tcMar>
              <w:top w:type="dxa" w:w="60"/>
              <w:left w:type="dxa" w:w="100"/>
              <w:bottom w:type="dxa" w:w="60"/>
              <w:right w:type="dxa" w:w="100"/>
            </w:tcMar>
            <w:vAlign w:val="center"/>
          </w:tcPr>
          <w:p>
            <w:r>
              <w:rPr>
                <w:b/>
                <w:bCs/>
                <w:color w:val="FFFFFF"/>
                <w:sz w:val="19"/>
                <w:szCs w:val="19"/>
              </w:rPr>
              <w:t xml:space="preserve">Method</w:t>
            </w:r>
          </w:p>
        </w:tc>
        <w:tc>
          <w:tcPr>
            <w:tcW w:type="dxa" w:w="2300"/>
            <w:shd w:fill="1F3864" w:val="clear"/>
            <w:tcMar>
              <w:top w:type="dxa" w:w="60"/>
              <w:left w:type="dxa" w:w="100"/>
              <w:bottom w:type="dxa" w:w="60"/>
              <w:right w:type="dxa" w:w="100"/>
            </w:tcMar>
            <w:vAlign w:val="center"/>
          </w:tcPr>
          <w:p>
            <w:r>
              <w:rPr>
                <w:b/>
                <w:bCs/>
                <w:color w:val="FFFFFF"/>
                <w:sz w:val="19"/>
                <w:szCs w:val="19"/>
              </w:rPr>
              <w:t xml:space="preserve">Path</w:t>
            </w:r>
          </w:p>
        </w:tc>
        <w:tc>
          <w:tcPr>
            <w:tcW w:type="dxa" w:w="5900"/>
            <w:shd w:fill="1F3864" w:val="clear"/>
            <w:tcMar>
              <w:top w:type="dxa" w:w="60"/>
              <w:left w:type="dxa" w:w="100"/>
              <w:bottom w:type="dxa" w:w="60"/>
              <w:right w:type="dxa" w:w="100"/>
            </w:tcMar>
            <w:vAlign w:val="center"/>
          </w:tcPr>
          <w:p>
            <w:r>
              <w:rPr>
                <w:b/>
                <w:bCs/>
                <w:color w:val="FFFFFF"/>
                <w:sz w:val="19"/>
                <w:szCs w:val="19"/>
              </w:rPr>
              <w:t xml:space="preserve">Purpose / Role / Backend component</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GET</w:t>
            </w:r>
          </w:p>
        </w:tc>
        <w:tc>
          <w:tcPr>
            <w:tcW w:type="dxa" w:w="2300"/>
            <w:tcMar>
              <w:top w:type="dxa" w:w="60"/>
              <w:left w:type="dxa" w:w="100"/>
              <w:bottom w:type="dxa" w:w="60"/>
              <w:right w:type="dxa" w:w="100"/>
            </w:tcMar>
            <w:vAlign w:val="center"/>
          </w:tcPr>
          <w:p>
            <w:r>
              <w:rPr>
                <w:b w:val="false"/>
                <w:bCs w:val="false"/>
                <w:color w:val="000000"/>
                <w:sz w:val="19"/>
                <w:szCs w:val="19"/>
              </w:rPr>
              <w:t xml:space="preserve">/works</w:t>
            </w:r>
          </w:p>
        </w:tc>
        <w:tc>
          <w:tcPr>
            <w:tcW w:type="dxa" w:w="5900"/>
            <w:tcMar>
              <w:top w:type="dxa" w:w="60"/>
              <w:left w:type="dxa" w:w="100"/>
              <w:bottom w:type="dxa" w:w="60"/>
              <w:right w:type="dxa" w:w="100"/>
            </w:tcMar>
            <w:vAlign w:val="center"/>
          </w:tcPr>
          <w:p>
            <w:r>
              <w:rPr>
                <w:b w:val="false"/>
                <w:bCs w:val="false"/>
                <w:color w:val="000000"/>
                <w:sz w:val="19"/>
                <w:szCs w:val="19"/>
              </w:rPr>
              <w:t xml:space="preserve">List/filter/sort works by risk, category, state, MP — role-scoped by jurisdiction. → work + risk_score tables.</w:t>
            </w:r>
          </w:p>
        </w:tc>
      </w:tr>
      <w:tr>
        <w:tc>
          <w:tcPr>
            <w:tcW w:type="dxa" w:w="1000"/>
            <w:shd w:fill="F2F2F2"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/works/{id}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Full work record. All roles (jurisdiction-checked).</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GET</w:t>
            </w:r>
          </w:p>
        </w:tc>
        <w:tc>
          <w:tcPr>
            <w:tcW w:type="dxa" w:w="2300"/>
            <w:tcMar>
              <w:top w:type="dxa" w:w="60"/>
              <w:left w:type="dxa" w:w="100"/>
              <w:bottom w:type="dxa" w:w="60"/>
              <w:right w:type="dxa" w:w="100"/>
            </w:tcMar>
            <w:vAlign w:val="center"/>
          </w:tcPr>
          <w:p>
            <w:r>
              <w:rPr>
                <w:b w:val="false"/>
                <w:bCs w:val="false"/>
                <w:color w:val="000000"/>
                <w:sz w:val="19"/>
                <w:szCs w:val="19"/>
              </w:rPr>
              <w:t xml:space="preserve">/works/{id}/risk</w:t>
            </w:r>
          </w:p>
        </w:tc>
        <w:tc>
          <w:tcPr>
            <w:tcW w:type="dxa" w:w="5900"/>
            <w:tcMar>
              <w:top w:type="dxa" w:w="60"/>
              <w:left w:type="dxa" w:w="100"/>
              <w:bottom w:type="dxa" w:w="60"/>
              <w:right w:type="dxa" w:w="100"/>
            </w:tcMar>
            <w:vAlign w:val="center"/>
          </w:tcPr>
          <w:p>
            <w:r>
              <w:rPr>
                <w:b w:val="false"/>
                <w:bCs w:val="false"/>
                <w:color w:val="000000"/>
                <w:sz w:val="19"/>
                <w:szCs w:val="19"/>
              </w:rPr>
              <w:t xml:space="preserve">Fused risk score + contributing signals with explanations. → Engine 7 output.</w:t>
            </w:r>
          </w:p>
        </w:tc>
      </w:tr>
      <w:tr>
        <w:tc>
          <w:tcPr>
            <w:tcW w:type="dxa" w:w="1000"/>
            <w:shd w:fill="F2F2F2"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/works/{id}/duplicates</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Photo and text duplicate matches for this work. → Engines 3–4.</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GET</w:t>
            </w:r>
          </w:p>
        </w:tc>
        <w:tc>
          <w:tcPr>
            <w:tcW w:type="dxa" w:w="2300"/>
            <w:tcMar>
              <w:top w:type="dxa" w:w="60"/>
              <w:left w:type="dxa" w:w="100"/>
              <w:bottom w:type="dxa" w:w="60"/>
              <w:right w:type="dxa" w:w="100"/>
            </w:tcMar>
            <w:vAlign w:val="center"/>
          </w:tcPr>
          <w:p>
            <w:r>
              <w:rPr>
                <w:b w:val="false"/>
                <w:bCs w:val="false"/>
                <w:color w:val="000000"/>
                <w:sz w:val="19"/>
                <w:szCs w:val="19"/>
              </w:rPr>
              <w:t xml:space="preserve">/alerts</w:t>
            </w:r>
          </w:p>
        </w:tc>
        <w:tc>
          <w:tcPr>
            <w:tcW w:type="dxa" w:w="5900"/>
            <w:tcMar>
              <w:top w:type="dxa" w:w="60"/>
              <w:left w:type="dxa" w:w="100"/>
              <w:bottom w:type="dxa" w:w="60"/>
              <w:right w:type="dxa" w:w="100"/>
            </w:tcMar>
            <w:vAlign w:val="center"/>
          </w:tcPr>
          <w:p>
            <w:r>
              <w:rPr>
                <w:b w:val="false"/>
                <w:bCs w:val="false"/>
                <w:color w:val="000000"/>
                <w:sz w:val="19"/>
                <w:szCs w:val="19"/>
              </w:rPr>
              <w:t xml:space="preserve">Open/assigned/reviewed alert queue, role-scoped. District Authority / Ministry.</w:t>
            </w:r>
          </w:p>
        </w:tc>
      </w:tr>
      <w:tr>
        <w:tc>
          <w:tcPr>
            <w:tcW w:type="dxa" w:w="1000"/>
            <w:shd w:fill="F2F2F2"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/alerts/{id}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Single alert detail with full evidence bundle.</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POST</w:t>
            </w:r>
          </w:p>
        </w:tc>
        <w:tc>
          <w:tcPr>
            <w:tcW w:type="dxa" w:w="2300"/>
            <w:tcMar>
              <w:top w:type="dxa" w:w="60"/>
              <w:left w:type="dxa" w:w="100"/>
              <w:bottom w:type="dxa" w:w="60"/>
              <w:right w:type="dxa" w:w="100"/>
            </w:tcMar>
            <w:vAlign w:val="center"/>
          </w:tcPr>
          <w:p>
            <w:r>
              <w:rPr>
                <w:b w:val="false"/>
                <w:bCs w:val="false"/>
                <w:color w:val="000000"/>
                <w:sz w:val="19"/>
                <w:szCs w:val="19"/>
              </w:rPr>
              <w:t xml:space="preserve">/investigations</w:t>
            </w:r>
          </w:p>
        </w:tc>
        <w:tc>
          <w:tcPr>
            <w:tcW w:type="dxa" w:w="5900"/>
            <w:tcMar>
              <w:top w:type="dxa" w:w="60"/>
              <w:left w:type="dxa" w:w="100"/>
              <w:bottom w:type="dxa" w:w="60"/>
              <w:right w:type="dxa" w:w="100"/>
            </w:tcMar>
            <w:vAlign w:val="center"/>
          </w:tcPr>
          <w:p>
            <w:r>
              <w:rPr>
                <w:b w:val="false"/>
                <w:bCs w:val="false"/>
                <w:color w:val="000000"/>
                <w:sz w:val="19"/>
                <w:szCs w:val="19"/>
              </w:rPr>
              <w:t xml:space="preserve">Record Confirm/Dismiss/Needs-Investigation decision + reason. Reviewer roles. → feeds Engine 8.</w:t>
            </w:r>
          </w:p>
        </w:tc>
      </w:tr>
      <w:tr>
        <w:tc>
          <w:tcPr>
            <w:tcW w:type="dxa" w:w="1000"/>
            <w:shd w:fill="F2F2F2" w:val="clear"/>
            <w:tcMar>
              <w:top w:type="dxa" w:w="60"/>
              <w:left w:type="dxa" w:w="100"/>
              <w:bottom w:type="dxa" w:w="60"/>
              <w:right w:type="dxa" w:w="100"/>
            </w:tcMar>
            <w:vAlign w:val="center"/>
          </w:tcPr>
          <w:p>
            <w:r>
              <w:rPr>
                <w:b w:val="false"/>
                <w:bCs w:val="false"/>
                <w:color w:val="000000"/>
                <w:sz w:val="19"/>
                <w:szCs w:val="19"/>
              </w:rPr>
              <w:t xml:space="preserve">POST</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/feedback</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Manual override on an engine's per-alert weight contribution (admin-only escape hatch).</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GET</w:t>
            </w:r>
          </w:p>
        </w:tc>
        <w:tc>
          <w:tcPr>
            <w:tcW w:type="dxa" w:w="2300"/>
            <w:tcMar>
              <w:top w:type="dxa" w:w="60"/>
              <w:left w:type="dxa" w:w="100"/>
              <w:bottom w:type="dxa" w:w="60"/>
              <w:right w:type="dxa" w:w="100"/>
            </w:tcMar>
            <w:vAlign w:val="center"/>
          </w:tcPr>
          <w:p>
            <w:r>
              <w:rPr>
                <w:b w:val="false"/>
                <w:bCs w:val="false"/>
                <w:color w:val="000000"/>
                <w:sz w:val="19"/>
                <w:szCs w:val="19"/>
              </w:rPr>
              <w:t xml:space="preserve">/analytics/fund-utilization</w:t>
            </w:r>
          </w:p>
        </w:tc>
        <w:tc>
          <w:tcPr>
            <w:tcW w:type="dxa" w:w="5900"/>
            <w:tcMar>
              <w:top w:type="dxa" w:w="60"/>
              <w:left w:type="dxa" w:w="100"/>
              <w:bottom w:type="dxa" w:w="60"/>
              <w:right w:type="dxa" w:w="100"/>
            </w:tcMar>
            <w:vAlign w:val="center"/>
          </w:tcPr>
          <w:p>
            <w:r>
              <w:rPr>
                <w:b w:val="false"/>
                <w:bCs w:val="false"/>
                <w:color w:val="000000"/>
                <w:sz w:val="19"/>
                <w:szCs w:val="19"/>
              </w:rPr>
              <w:t xml:space="preserve">Per-MP/state utilization trend and forecast. → Engine 6.</w:t>
            </w:r>
          </w:p>
        </w:tc>
      </w:tr>
      <w:tr>
        <w:tc>
          <w:tcPr>
            <w:tcW w:type="dxa" w:w="1000"/>
            <w:shd w:fill="F2F2F2"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/analytics/agencies/{id}</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Per-IDA work volume, amount distribution, flag rate.</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GET</w:t>
            </w:r>
          </w:p>
        </w:tc>
        <w:tc>
          <w:tcPr>
            <w:tcW w:type="dxa" w:w="2300"/>
            <w:tcMar>
              <w:top w:type="dxa" w:w="60"/>
              <w:left w:type="dxa" w:w="100"/>
              <w:bottom w:type="dxa" w:w="60"/>
              <w:right w:type="dxa" w:w="100"/>
            </w:tcMar>
            <w:vAlign w:val="center"/>
          </w:tcPr>
          <w:p>
            <w:r>
              <w:rPr>
                <w:b w:val="false"/>
                <w:bCs w:val="false"/>
                <w:color w:val="000000"/>
                <w:sz w:val="19"/>
                <w:szCs w:val="19"/>
              </w:rPr>
              <w:t xml:space="preserve">/dashboard/summary</w:t>
            </w:r>
          </w:p>
        </w:tc>
        <w:tc>
          <w:tcPr>
            <w:tcW w:type="dxa" w:w="5900"/>
            <w:tcMar>
              <w:top w:type="dxa" w:w="60"/>
              <w:left w:type="dxa" w:w="100"/>
              <w:bottom w:type="dxa" w:w="60"/>
              <w:right w:type="dxa" w:w="100"/>
            </w:tcMar>
            <w:vAlign w:val="center"/>
          </w:tcPr>
          <w:p>
            <w:r>
              <w:rPr>
                <w:b w:val="false"/>
                <w:bCs w:val="false"/>
                <w:color w:val="000000"/>
                <w:sz w:val="19"/>
                <w:szCs w:val="19"/>
              </w:rPr>
              <w:t xml:space="preserve">NAZAR Command Centre landing-page aggregates.</w:t>
            </w:r>
          </w:p>
        </w:tc>
      </w:tr>
      <w:tr>
        <w:tc>
          <w:tcPr>
            <w:tcW w:type="dxa" w:w="1000"/>
            <w:shd w:fill="F2F2F2" w:val="clear"/>
            <w:tcMar>
              <w:top w:type="dxa" w:w="60"/>
              <w:left w:type="dxa" w:w="100"/>
              <w:bottom w:type="dxa" w:w="60"/>
              <w:right w:type="dxa" w:w="100"/>
            </w:tcMar>
            <w:vAlign w:val="center"/>
          </w:tcPr>
          <w:p>
            <w:r>
              <w:rPr>
                <w:b w:val="false"/>
                <w:bCs w:val="false"/>
                <w:color w:val="000000"/>
                <w:sz w:val="19"/>
                <w:szCs w:val="19"/>
              </w:rPr>
              <w:t xml:space="preserve">GET</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/health</w:t>
            </w:r>
          </w:p>
        </w:tc>
        <w:tc>
          <w:tcPr>
            <w:tcW w:type="dxa" w:w="5900"/>
            <w:shd w:fill="F2F2F2" w:val="clear"/>
            <w:tcMar>
              <w:top w:type="dxa" w:w="60"/>
              <w:left w:type="dxa" w:w="100"/>
              <w:bottom w:type="dxa" w:w="60"/>
              <w:right w:type="dxa" w:w="100"/>
            </w:tcMar>
            <w:vAlign w:val="center"/>
          </w:tcPr>
          <w:p>
            <w:r>
              <w:rPr>
                <w:b w:val="false"/>
                <w:bCs w:val="false"/>
                <w:color w:val="000000"/>
                <w:sz w:val="19"/>
                <w:szCs w:val="19"/>
              </w:rPr>
              <w:t xml:space="preserve">Pipeline data-freshness status. → Source-Freshness Monitor (Grand Finale).</w:t>
            </w:r>
          </w:p>
        </w:tc>
      </w:tr>
      <w:tr>
        <w:tc>
          <w:tcPr>
            <w:tcW w:type="dxa" w:w="1000"/>
            <w:tcMar>
              <w:top w:type="dxa" w:w="60"/>
              <w:left w:type="dxa" w:w="100"/>
              <w:bottom w:type="dxa" w:w="60"/>
              <w:right w:type="dxa" w:w="100"/>
            </w:tcMar>
            <w:vAlign w:val="center"/>
          </w:tcPr>
          <w:p>
            <w:r>
              <w:rPr>
                <w:b w:val="false"/>
                <w:bCs w:val="false"/>
                <w:color w:val="000000"/>
                <w:sz w:val="19"/>
                <w:szCs w:val="19"/>
              </w:rPr>
              <w:t xml:space="preserve">POST</w:t>
            </w:r>
          </w:p>
        </w:tc>
        <w:tc>
          <w:tcPr>
            <w:tcW w:type="dxa" w:w="2300"/>
            <w:tcMar>
              <w:top w:type="dxa" w:w="60"/>
              <w:left w:type="dxa" w:w="100"/>
              <w:bottom w:type="dxa" w:w="60"/>
              <w:right w:type="dxa" w:w="100"/>
            </w:tcMar>
            <w:vAlign w:val="center"/>
          </w:tcPr>
          <w:p>
            <w:r>
              <w:rPr>
                <w:b w:val="false"/>
                <w:bCs w:val="false"/>
                <w:color w:val="000000"/>
                <w:sz w:val="19"/>
                <w:szCs w:val="19"/>
              </w:rPr>
              <w:t xml:space="preserve">/auth/login</w:t>
            </w:r>
          </w:p>
        </w:tc>
        <w:tc>
          <w:tcPr>
            <w:tcW w:type="dxa" w:w="5900"/>
            <w:tcMar>
              <w:top w:type="dxa" w:w="60"/>
              <w:left w:type="dxa" w:w="100"/>
              <w:bottom w:type="dxa" w:w="60"/>
              <w:right w:type="dxa" w:w="100"/>
            </w:tcMar>
            <w:vAlign w:val="center"/>
          </w:tcPr>
          <w:p>
            <w:r>
              <w:rPr>
                <w:b w:val="false"/>
                <w:bCs w:val="false"/>
                <w:color w:val="000000"/>
                <w:sz w:val="19"/>
                <w:szCs w:val="19"/>
              </w:rPr>
              <w:t xml:space="preserve">JWT issuance.</w:t>
            </w:r>
          </w:p>
        </w:tc>
      </w:tr>
    </w:tbl>
    <w:p>
      <w:pPr>
        <w:pStyle w:val="Heading1"/>
        <w:pageBreakBefore/>
        <w:spacing w:after="200" w:before="200"/>
      </w:pPr>
      <w:r>
        <w:rPr>
          <w:b/>
          <w:bCs/>
          <w:color w:val="1F3864"/>
        </w:rPr>
        <w:t xml:space="preserve">Part F — Complete Software Stack</w:t>
      </w:r>
    </w:p>
    <w:tbl>
      <w:tblPr>
        <w:tblW w:type="dxa" w:w="9000"/>
        <w:tblBorders>
          <w:top w:val="single" w:color="999999" w:sz="2"/>
          <w:left w:val="single" w:color="999999" w:sz="2"/>
          <w:bottom w:val="single" w:color="999999" w:sz="2"/>
          <w:right w:val="single" w:color="999999" w:sz="2"/>
          <w:insideH w:val="single" w:color="CCCCCC" w:sz="2"/>
          <w:insideV w:val="single" w:color="CCCCCC" w:sz="2"/>
        </w:tblBorders>
      </w:tblPr>
      <w:tblGrid>
        <w:gridCol w:w="1900"/>
        <w:gridCol w:w="2600"/>
        <w:gridCol w:w="4500"/>
      </w:tblGrid>
      <w:tr>
        <w:trPr>
          <w:tblHeader/>
        </w:trPr>
        <w:tc>
          <w:tcPr>
            <w:tcW w:type="dxa" w:w="1900"/>
            <w:shd w:fill="1F3864" w:val="clear"/>
            <w:tcMar>
              <w:top w:type="dxa" w:w="60"/>
              <w:left w:type="dxa" w:w="100"/>
              <w:bottom w:type="dxa" w:w="60"/>
              <w:right w:type="dxa" w:w="100"/>
            </w:tcMar>
            <w:vAlign w:val="center"/>
          </w:tcPr>
          <w:p>
            <w:r>
              <w:rPr>
                <w:b/>
                <w:bCs/>
                <w:color w:val="FFFFFF"/>
                <w:sz w:val="19"/>
                <w:szCs w:val="19"/>
              </w:rPr>
              <w:t xml:space="preserve">Category</w:t>
            </w:r>
          </w:p>
        </w:tc>
        <w:tc>
          <w:tcPr>
            <w:tcW w:type="dxa" w:w="2600"/>
            <w:shd w:fill="1F3864" w:val="clear"/>
            <w:tcMar>
              <w:top w:type="dxa" w:w="60"/>
              <w:left w:type="dxa" w:w="100"/>
              <w:bottom w:type="dxa" w:w="60"/>
              <w:right w:type="dxa" w:w="100"/>
            </w:tcMar>
            <w:vAlign w:val="center"/>
          </w:tcPr>
          <w:p>
            <w:r>
              <w:rPr>
                <w:b/>
                <w:bCs/>
                <w:color w:val="FFFFFF"/>
                <w:sz w:val="19"/>
                <w:szCs w:val="19"/>
              </w:rPr>
              <w:t xml:space="preserve">Technology</w:t>
            </w:r>
          </w:p>
        </w:tc>
        <w:tc>
          <w:tcPr>
            <w:tcW w:type="dxa" w:w="4500"/>
            <w:shd w:fill="1F3864" w:val="clear"/>
            <w:tcMar>
              <w:top w:type="dxa" w:w="60"/>
              <w:left w:type="dxa" w:w="100"/>
              <w:bottom w:type="dxa" w:w="60"/>
              <w:right w:type="dxa" w:w="100"/>
            </w:tcMar>
            <w:vAlign w:val="center"/>
          </w:tcPr>
          <w:p>
            <w:r>
              <w:rPr>
                <w:b/>
                <w:bCs/>
                <w:color w:val="FFFFFF"/>
                <w:sz w:val="19"/>
                <w:szCs w:val="19"/>
              </w:rPr>
              <w:t xml:space="preserve">Why we need it</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Frontend</w:t>
            </w:r>
          </w:p>
        </w:tc>
        <w:tc>
          <w:tcPr>
            <w:tcW w:type="dxa" w:w="2600"/>
            <w:tcMar>
              <w:top w:type="dxa" w:w="60"/>
              <w:left w:type="dxa" w:w="100"/>
              <w:bottom w:type="dxa" w:w="60"/>
              <w:right w:type="dxa" w:w="100"/>
            </w:tcMar>
            <w:vAlign w:val="center"/>
          </w:tcPr>
          <w:p>
            <w:r>
              <w:rPr>
                <w:b w:val="false"/>
                <w:bCs w:val="false"/>
                <w:color w:val="000000"/>
                <w:sz w:val="19"/>
                <w:szCs w:val="19"/>
              </w:rPr>
              <w:t xml:space="preserve">React + TypeScript + Vite</w:t>
            </w:r>
          </w:p>
        </w:tc>
        <w:tc>
          <w:tcPr>
            <w:tcW w:type="dxa" w:w="4500"/>
            <w:tcMar>
              <w:top w:type="dxa" w:w="60"/>
              <w:left w:type="dxa" w:w="100"/>
              <w:bottom w:type="dxa" w:w="60"/>
              <w:right w:type="dxa" w:w="100"/>
            </w:tcMar>
            <w:vAlign w:val="center"/>
          </w:tcPr>
          <w:p>
            <w:r>
              <w:rPr>
                <w:b w:val="false"/>
                <w:bCs w:val="false"/>
                <w:color w:val="000000"/>
                <w:sz w:val="19"/>
                <w:szCs w:val="19"/>
              </w:rPr>
              <w:t xml:space="preserve">Component-driven dashboard with role-scoped views; Vite keeps the dev loop fast for a hackathon timeline.</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Frontend</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Recharts</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Fund-utilization trend charts, risk-distribution histograms — no need for a heavier viz library at this scale.</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Backend</w:t>
            </w:r>
          </w:p>
        </w:tc>
        <w:tc>
          <w:tcPr>
            <w:tcW w:type="dxa" w:w="2600"/>
            <w:tcMar>
              <w:top w:type="dxa" w:w="60"/>
              <w:left w:type="dxa" w:w="100"/>
              <w:bottom w:type="dxa" w:w="60"/>
              <w:right w:type="dxa" w:w="100"/>
            </w:tcMar>
            <w:vAlign w:val="center"/>
          </w:tcPr>
          <w:p>
            <w:r>
              <w:rPr>
                <w:b w:val="false"/>
                <w:bCs w:val="false"/>
                <w:color w:val="000000"/>
                <w:sz w:val="19"/>
                <w:szCs w:val="19"/>
              </w:rPr>
              <w:t xml:space="preserve">FastAPI (Python)</w:t>
            </w:r>
          </w:p>
        </w:tc>
        <w:tc>
          <w:tcPr>
            <w:tcW w:type="dxa" w:w="4500"/>
            <w:tcMar>
              <w:top w:type="dxa" w:w="60"/>
              <w:left w:type="dxa" w:w="100"/>
              <w:bottom w:type="dxa" w:w="60"/>
              <w:right w:type="dxa" w:w="100"/>
            </w:tcMar>
            <w:vAlign w:val="center"/>
          </w:tcPr>
          <w:p>
            <w:r>
              <w:rPr>
                <w:b w:val="false"/>
                <w:bCs w:val="false"/>
                <w:color w:val="000000"/>
                <w:sz w:val="19"/>
                <w:szCs w:val="19"/>
              </w:rPr>
              <w:t xml:space="preserve">Shares a language with the ML stack — no serialization boundary between model output and API response; auto-generates OpenAPI docs for the judge Q&amp;A.</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Backend</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Pydantic</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Request/response validation, doubles as the Schema/Value Validator's typed contract.</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Database</w:t>
            </w:r>
          </w:p>
        </w:tc>
        <w:tc>
          <w:tcPr>
            <w:tcW w:type="dxa" w:w="2600"/>
            <w:tcMar>
              <w:top w:type="dxa" w:w="60"/>
              <w:left w:type="dxa" w:w="100"/>
              <w:bottom w:type="dxa" w:w="60"/>
              <w:right w:type="dxa" w:w="100"/>
            </w:tcMar>
            <w:vAlign w:val="center"/>
          </w:tcPr>
          <w:p>
            <w:r>
              <w:rPr>
                <w:b w:val="false"/>
                <w:bCs w:val="false"/>
                <w:color w:val="000000"/>
                <w:sz w:val="19"/>
                <w:szCs w:val="19"/>
              </w:rPr>
              <w:t xml:space="preserve">PostgreSQL</w:t>
            </w:r>
          </w:p>
        </w:tc>
        <w:tc>
          <w:tcPr>
            <w:tcW w:type="dxa" w:w="4500"/>
            <w:tcMar>
              <w:top w:type="dxa" w:w="60"/>
              <w:left w:type="dxa" w:w="100"/>
              <w:bottom w:type="dxa" w:w="60"/>
              <w:right w:type="dxa" w:w="100"/>
            </w:tcMar>
            <w:vAlign w:val="center"/>
          </w:tcPr>
          <w:p>
            <w:r>
              <w:rPr>
                <w:b w:val="false"/>
                <w:bCs w:val="false"/>
                <w:color w:val="000000"/>
                <w:sz w:val="19"/>
                <w:szCs w:val="19"/>
              </w:rPr>
              <w:t xml:space="preserve">Relational integrity for works/risk/alerts/investigations; mature, no exotic ops burden.</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Database</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SQLAlchemy / SQLModel + Alembic</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ORM + versioned migrations.</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Data Engineering</w:t>
            </w:r>
          </w:p>
        </w:tc>
        <w:tc>
          <w:tcPr>
            <w:tcW w:type="dxa" w:w="2600"/>
            <w:tcMar>
              <w:top w:type="dxa" w:w="60"/>
              <w:left w:type="dxa" w:w="100"/>
              <w:bottom w:type="dxa" w:w="60"/>
              <w:right w:type="dxa" w:w="100"/>
            </w:tcMar>
            <w:vAlign w:val="center"/>
          </w:tcPr>
          <w:p>
            <w:r>
              <w:rPr>
                <w:b w:val="false"/>
                <w:bCs w:val="false"/>
                <w:color w:val="000000"/>
                <w:sz w:val="19"/>
                <w:szCs w:val="19"/>
              </w:rPr>
              <w:t xml:space="preserve">pandas, pyarrow (Parquet)</w:t>
            </w:r>
          </w:p>
        </w:tc>
        <w:tc>
          <w:tcPr>
            <w:tcW w:type="dxa" w:w="4500"/>
            <w:tcMar>
              <w:top w:type="dxa" w:w="60"/>
              <w:left w:type="dxa" w:w="100"/>
              <w:bottom w:type="dxa" w:w="60"/>
              <w:right w:type="dxa" w:w="100"/>
            </w:tcMar>
            <w:vAlign w:val="center"/>
          </w:tcPr>
          <w:p>
            <w:r>
              <w:rPr>
                <w:b w:val="false"/>
                <w:bCs w:val="false"/>
                <w:color w:val="000000"/>
                <w:sz w:val="19"/>
                <w:szCs w:val="19"/>
              </w:rPr>
              <w:t xml:space="preserve">Already the pattern in pipeline/consolidate.py — kept, not replaced.</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ML — Rules/Stats</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NumPy / SciPy</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z-score, MAD, percentile computations for Engines 1 and 5.</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ML — Anomaly</w:t>
            </w:r>
          </w:p>
        </w:tc>
        <w:tc>
          <w:tcPr>
            <w:tcW w:type="dxa" w:w="2600"/>
            <w:tcMar>
              <w:top w:type="dxa" w:w="60"/>
              <w:left w:type="dxa" w:w="100"/>
              <w:bottom w:type="dxa" w:w="60"/>
              <w:right w:type="dxa" w:w="100"/>
            </w:tcMar>
            <w:vAlign w:val="center"/>
          </w:tcPr>
          <w:p>
            <w:r>
              <w:rPr>
                <w:b w:val="false"/>
                <w:bCs w:val="false"/>
                <w:color w:val="000000"/>
                <w:sz w:val="19"/>
                <w:szCs w:val="19"/>
              </w:rPr>
              <w:t xml:space="preserve">scikit-learn (IsolationForest)</w:t>
            </w:r>
          </w:p>
        </w:tc>
        <w:tc>
          <w:tcPr>
            <w:tcW w:type="dxa" w:w="4500"/>
            <w:tcMar>
              <w:top w:type="dxa" w:w="60"/>
              <w:left w:type="dxa" w:w="100"/>
              <w:bottom w:type="dxa" w:w="60"/>
              <w:right w:type="dxa" w:w="100"/>
            </w:tcMar>
            <w:vAlign w:val="center"/>
          </w:tcPr>
          <w:p>
            <w:r>
              <w:rPr>
                <w:b w:val="false"/>
                <w:bCs w:val="false"/>
                <w:color w:val="000000"/>
                <w:sz w:val="19"/>
                <w:szCs w:val="19"/>
              </w:rPr>
              <w:t xml:space="preserve">Engine 2 — unsupervised multivariate outlier detection.</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ML — Explainability</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SHAP</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Per-feature contribution explanations for Engine 2's anomaly scores.</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NLP</w:t>
            </w:r>
          </w:p>
        </w:tc>
        <w:tc>
          <w:tcPr>
            <w:tcW w:type="dxa" w:w="2600"/>
            <w:tcMar>
              <w:top w:type="dxa" w:w="60"/>
              <w:left w:type="dxa" w:w="100"/>
              <w:bottom w:type="dxa" w:w="60"/>
              <w:right w:type="dxa" w:w="100"/>
            </w:tcMar>
            <w:vAlign w:val="center"/>
          </w:tcPr>
          <w:p>
            <w:r>
              <w:rPr>
                <w:b w:val="false"/>
                <w:bCs w:val="false"/>
                <w:color w:val="000000"/>
                <w:sz w:val="19"/>
                <w:szCs w:val="19"/>
              </w:rPr>
              <w:t xml:space="preserve">sentence-transformers (all-MiniLM-L6-v2)</w:t>
            </w:r>
          </w:p>
        </w:tc>
        <w:tc>
          <w:tcPr>
            <w:tcW w:type="dxa" w:w="4500"/>
            <w:tcMar>
              <w:top w:type="dxa" w:w="60"/>
              <w:left w:type="dxa" w:w="100"/>
              <w:bottom w:type="dxa" w:w="60"/>
              <w:right w:type="dxa" w:w="100"/>
            </w:tcMar>
            <w:vAlign w:val="center"/>
          </w:tcPr>
          <w:p>
            <w:r>
              <w:rPr>
                <w:b w:val="false"/>
                <w:bCs w:val="false"/>
                <w:color w:val="000000"/>
                <w:sz w:val="19"/>
                <w:szCs w:val="19"/>
              </w:rPr>
              <w:t xml:space="preserve">Engine 4 — cross-year semantic duplicate clustering, pretrained, no fine-tuning needed.</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Computer Vision</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imagehash (pHash), OpenCV (SIFT/ORB)</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Engine 3 — photo-reuse detection, both deterministic, no training.</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Auth</w:t>
            </w:r>
          </w:p>
        </w:tc>
        <w:tc>
          <w:tcPr>
            <w:tcW w:type="dxa" w:w="2600"/>
            <w:tcMar>
              <w:top w:type="dxa" w:w="60"/>
              <w:left w:type="dxa" w:w="100"/>
              <w:bottom w:type="dxa" w:w="60"/>
              <w:right w:type="dxa" w:w="100"/>
            </w:tcMar>
            <w:vAlign w:val="center"/>
          </w:tcPr>
          <w:p>
            <w:r>
              <w:rPr>
                <w:b w:val="false"/>
                <w:bCs w:val="false"/>
                <w:color w:val="000000"/>
                <w:sz w:val="19"/>
                <w:szCs w:val="19"/>
              </w:rPr>
              <w:t xml:space="preserve">JWT (python-jose), passlib</w:t>
            </w:r>
          </w:p>
        </w:tc>
        <w:tc>
          <w:tcPr>
            <w:tcW w:type="dxa" w:w="4500"/>
            <w:tcMar>
              <w:top w:type="dxa" w:w="60"/>
              <w:left w:type="dxa" w:w="100"/>
              <w:bottom w:type="dxa" w:w="60"/>
              <w:right w:type="dxa" w:w="100"/>
            </w:tcMar>
            <w:vAlign w:val="center"/>
          </w:tcPr>
          <w:p>
            <w:r>
              <w:rPr>
                <w:b w:val="false"/>
                <w:bCs w:val="false"/>
                <w:color w:val="000000"/>
                <w:sz w:val="19"/>
                <w:szCs w:val="19"/>
              </w:rPr>
              <w:t xml:space="preserve">Stateless auth + password hashing.</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Deployment</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Docker Compose</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One-command demo spin-up; Kubernetes is explicitly not used — unjustified complexity at this scale.</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Testing</w:t>
            </w:r>
          </w:p>
        </w:tc>
        <w:tc>
          <w:tcPr>
            <w:tcW w:type="dxa" w:w="2600"/>
            <w:tcMar>
              <w:top w:type="dxa" w:w="60"/>
              <w:left w:type="dxa" w:w="100"/>
              <w:bottom w:type="dxa" w:w="60"/>
              <w:right w:type="dxa" w:w="100"/>
            </w:tcMar>
            <w:vAlign w:val="center"/>
          </w:tcPr>
          <w:p>
            <w:r>
              <w:rPr>
                <w:b w:val="false"/>
                <w:bCs w:val="false"/>
                <w:color w:val="000000"/>
                <w:sz w:val="19"/>
                <w:szCs w:val="19"/>
              </w:rPr>
              <w:t xml:space="preserve">pytest, pytest-cov</w:t>
            </w:r>
          </w:p>
        </w:tc>
        <w:tc>
          <w:tcPr>
            <w:tcW w:type="dxa" w:w="4500"/>
            <w:tcMar>
              <w:top w:type="dxa" w:w="60"/>
              <w:left w:type="dxa" w:w="100"/>
              <w:bottom w:type="dxa" w:w="60"/>
              <w:right w:type="dxa" w:w="100"/>
            </w:tcMar>
            <w:vAlign w:val="center"/>
          </w:tcPr>
          <w:p>
            <w:r>
              <w:rPr>
                <w:b w:val="false"/>
                <w:bCs w:val="false"/>
                <w:color w:val="000000"/>
                <w:sz w:val="19"/>
                <w:szCs w:val="19"/>
              </w:rPr>
              <w:t xml:space="preserve">Unit tests for rule thresholds and the fusion formula, which are exactly the pieces a judge may probe.</w:t>
            </w:r>
          </w:p>
        </w:tc>
      </w:tr>
      <w:tr>
        <w:tc>
          <w:tcPr>
            <w:tcW w:type="dxa" w:w="1900"/>
            <w:shd w:fill="F2F2F2" w:val="clear"/>
            <w:tcMar>
              <w:top w:type="dxa" w:w="60"/>
              <w:left w:type="dxa" w:w="100"/>
              <w:bottom w:type="dxa" w:w="60"/>
              <w:right w:type="dxa" w:w="100"/>
            </w:tcMar>
            <w:vAlign w:val="center"/>
          </w:tcPr>
          <w:p>
            <w:r>
              <w:rPr>
                <w:b w:val="false"/>
                <w:bCs w:val="false"/>
                <w:color w:val="000000"/>
                <w:sz w:val="19"/>
                <w:szCs w:val="19"/>
              </w:rPr>
              <w:t xml:space="preserve">Version Control</w:t>
            </w:r>
          </w:p>
        </w:tc>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Git / GitHub</w:t>
            </w:r>
          </w:p>
        </w:tc>
        <w:tc>
          <w:tcPr>
            <w:tcW w:type="dxa" w:w="4500"/>
            <w:shd w:fill="F2F2F2" w:val="clear"/>
            <w:tcMar>
              <w:top w:type="dxa" w:w="60"/>
              <w:left w:type="dxa" w:w="100"/>
              <w:bottom w:type="dxa" w:w="60"/>
              <w:right w:type="dxa" w:w="100"/>
            </w:tcMar>
            <w:vAlign w:val="center"/>
          </w:tcPr>
          <w:p>
            <w:r>
              <w:rPr>
                <w:b w:val="false"/>
                <w:bCs w:val="false"/>
                <w:color w:val="000000"/>
                <w:sz w:val="19"/>
                <w:szCs w:val="19"/>
              </w:rPr>
              <w:t xml:space="preserve">Standard.</w:t>
            </w:r>
          </w:p>
        </w:tc>
      </w:tr>
      <w:tr>
        <w:tc>
          <w:tcPr>
            <w:tcW w:type="dxa" w:w="1900"/>
            <w:tcMar>
              <w:top w:type="dxa" w:w="60"/>
              <w:left w:type="dxa" w:w="100"/>
              <w:bottom w:type="dxa" w:w="60"/>
              <w:right w:type="dxa" w:w="100"/>
            </w:tcMar>
            <w:vAlign w:val="center"/>
          </w:tcPr>
          <w:p>
            <w:r>
              <w:rPr>
                <w:b w:val="false"/>
                <w:bCs w:val="false"/>
                <w:color w:val="000000"/>
                <w:sz w:val="19"/>
                <w:szCs w:val="19"/>
              </w:rPr>
              <w:t xml:space="preserve">Monitoring</w:t>
            </w:r>
          </w:p>
        </w:tc>
        <w:tc>
          <w:tcPr>
            <w:tcW w:type="dxa" w:w="2600"/>
            <w:tcMar>
              <w:top w:type="dxa" w:w="60"/>
              <w:left w:type="dxa" w:w="100"/>
              <w:bottom w:type="dxa" w:w="60"/>
              <w:right w:type="dxa" w:w="100"/>
            </w:tcMar>
            <w:vAlign w:val="center"/>
          </w:tcPr>
          <w:p>
            <w:r>
              <w:rPr>
                <w:b w:val="false"/>
                <w:bCs w:val="false"/>
                <w:color w:val="000000"/>
                <w:sz w:val="19"/>
                <w:szCs w:val="19"/>
              </w:rPr>
              <w:t xml:space="preserve">Structured logging + /health endpoint</w:t>
            </w:r>
          </w:p>
        </w:tc>
        <w:tc>
          <w:tcPr>
            <w:tcW w:type="dxa" w:w="4500"/>
            <w:tcMar>
              <w:top w:type="dxa" w:w="60"/>
              <w:left w:type="dxa" w:w="100"/>
              <w:bottom w:type="dxa" w:w="60"/>
              <w:right w:type="dxa" w:w="100"/>
            </w:tcMar>
            <w:vAlign w:val="center"/>
          </w:tcPr>
          <w:p>
            <w:r>
              <w:rPr>
                <w:b w:val="false"/>
                <w:bCs w:val="false"/>
                <w:color w:val="000000"/>
                <w:sz w:val="19"/>
                <w:szCs w:val="19"/>
              </w:rPr>
              <w:t xml:space="preserve">Backs the Source-Freshness Monitor without a dedicated observability stack.</w:t>
            </w:r>
          </w:p>
        </w:tc>
      </w:tr>
    </w:tbl>
    <w:p>
      <w:pPr>
        <w:pStyle w:val="Heading1"/>
        <w:pageBreakBefore/>
        <w:spacing w:after="200" w:before="200"/>
      </w:pPr>
      <w:r>
        <w:rPr>
          <w:b/>
          <w:bCs/>
          <w:color w:val="1F3864"/>
        </w:rPr>
        <w:t xml:space="preserve">Part G — Project Folder Structure</w:t>
      </w:r>
    </w:p>
    <w:p>
      <w:pPr>
        <w:pBdr>
          <w:top w:val="single" w:color="CCCCCC" w:sz="2"/>
          <w:bottom w:val="single" w:color="CCCCCC" w:sz="2"/>
          <w:left w:val="single" w:color="CCCCCC" w:sz="2"/>
          <w:right w:val="single" w:color="CCCCCC" w:sz="2"/>
        </w:pBdr>
        <w:shd w:fill="F2F2F2" w:val="clear"/>
        <w:spacing w:after="40"/>
      </w:pPr>
      <w:r>
        <w:rPr>
          <w:rFonts w:ascii="Consolas" w:cs="Consolas" w:eastAsia="Consolas" w:hAnsi="Consolas"/>
          <w:sz w:val="18"/>
          <w:szCs w:val="18"/>
        </w:rPr>
        <w:t xml:space="preserve">mplads-ai/</w:t>
      </w:r>
      <w:r>
        <w:rPr>
          <w:rFonts w:ascii="Consolas" w:cs="Consolas" w:eastAsia="Consolas" w:hAnsi="Consolas"/>
          <w:sz w:val="18"/>
          <w:szCs w:val="18"/>
        </w:rPr>
        <w:br/>
        <w:t xml:space="preserve">|-- frontend/                # React + TS dashboard</w:t>
      </w:r>
      <w:r>
        <w:rPr>
          <w:rFonts w:ascii="Consolas" w:cs="Consolas" w:eastAsia="Consolas" w:hAnsi="Consolas"/>
          <w:sz w:val="18"/>
          <w:szCs w:val="18"/>
        </w:rPr>
        <w:br/>
        <w:t xml:space="preserve">|   |-- src/components/      # WorkCard, RiskBadge, EvidenceTabs, AlertsQueue</w:t>
      </w:r>
      <w:r>
        <w:rPr>
          <w:rFonts w:ascii="Consolas" w:cs="Consolas" w:eastAsia="Consolas" w:hAnsi="Consolas"/>
          <w:sz w:val="18"/>
          <w:szCs w:val="18"/>
        </w:rPr>
        <w:br/>
        <w:t xml:space="preserve">|   |-- src/pages/           # Dashboard, WorkDetail, Alerts, Analytics</w:t>
      </w:r>
      <w:r>
        <w:rPr>
          <w:rFonts w:ascii="Consolas" w:cs="Consolas" w:eastAsia="Consolas" w:hAnsi="Consolas"/>
          <w:sz w:val="18"/>
          <w:szCs w:val="18"/>
        </w:rPr>
        <w:br/>
        <w:t xml:space="preserve">|   `-- src/api/             # typed API client</w:t>
      </w:r>
      <w:r>
        <w:rPr>
          <w:rFonts w:ascii="Consolas" w:cs="Consolas" w:eastAsia="Consolas" w:hAnsi="Consolas"/>
          <w:sz w:val="18"/>
          <w:szCs w:val="18"/>
        </w:rPr>
        <w:br/>
        <w:t xml:space="preserve">|-- backend/                 # FastAPI app</w:t>
      </w:r>
      <w:r>
        <w:rPr>
          <w:rFonts w:ascii="Consolas" w:cs="Consolas" w:eastAsia="Consolas" w:hAnsi="Consolas"/>
          <w:sz w:val="18"/>
          <w:szCs w:val="18"/>
        </w:rPr>
        <w:br/>
        <w:t xml:space="preserve">|   |-- app/api/             # routers: works, alerts, investigations, analytics, auth</w:t>
      </w:r>
      <w:r>
        <w:rPr>
          <w:rFonts w:ascii="Consolas" w:cs="Consolas" w:eastAsia="Consolas" w:hAnsi="Consolas"/>
          <w:sz w:val="18"/>
          <w:szCs w:val="18"/>
        </w:rPr>
        <w:br/>
        <w:t xml:space="preserve">|   |-- app/models/          # SQLAlchemy models (Part D)</w:t>
      </w:r>
      <w:r>
        <w:rPr>
          <w:rFonts w:ascii="Consolas" w:cs="Consolas" w:eastAsia="Consolas" w:hAnsi="Consolas"/>
          <w:sz w:val="18"/>
          <w:szCs w:val="18"/>
        </w:rPr>
        <w:br/>
        <w:t xml:space="preserve">|   |-- app/schemas/         # Pydantic request/response schemas</w:t>
      </w:r>
      <w:r>
        <w:rPr>
          <w:rFonts w:ascii="Consolas" w:cs="Consolas" w:eastAsia="Consolas" w:hAnsi="Consolas"/>
          <w:sz w:val="18"/>
          <w:szCs w:val="18"/>
        </w:rPr>
        <w:br/>
        <w:t xml:space="preserve">|   |-- app/services/        # risk fusion, calibration, jurisdiction scoping</w:t>
      </w:r>
      <w:r>
        <w:rPr>
          <w:rFonts w:ascii="Consolas" w:cs="Consolas" w:eastAsia="Consolas" w:hAnsi="Consolas"/>
          <w:sz w:val="18"/>
          <w:szCs w:val="18"/>
        </w:rPr>
        <w:br/>
        <w:t xml:space="preserve">|   `-- app/core/            # config, auth, RBAC middleware</w:t>
      </w:r>
      <w:r>
        <w:rPr>
          <w:rFonts w:ascii="Consolas" w:cs="Consolas" w:eastAsia="Consolas" w:hAnsi="Consolas"/>
          <w:sz w:val="18"/>
          <w:szCs w:val="18"/>
        </w:rPr>
        <w:br/>
        <w:t xml:space="preserve">|-- ml/</w:t>
      </w:r>
      <w:r>
        <w:rPr>
          <w:rFonts w:ascii="Consolas" w:cs="Consolas" w:eastAsia="Consolas" w:hAnsi="Consolas"/>
          <w:sz w:val="18"/>
          <w:szCs w:val="18"/>
        </w:rPr>
        <w:br/>
        <w:t xml:space="preserve">|   |-- rules/               # Engine 1 + 5 (PolicyCode MPLADS, Idle-Fund)</w:t>
      </w:r>
      <w:r>
        <w:rPr>
          <w:rFonts w:ascii="Consolas" w:cs="Consolas" w:eastAsia="Consolas" w:hAnsi="Consolas"/>
          <w:sz w:val="18"/>
          <w:szCs w:val="18"/>
        </w:rPr>
        <w:br/>
        <w:t xml:space="preserve">|   |-- anomaly/             # Engine 2 (IsolationForest)</w:t>
      </w:r>
      <w:r>
        <w:rPr>
          <w:rFonts w:ascii="Consolas" w:cs="Consolas" w:eastAsia="Consolas" w:hAnsi="Consolas"/>
          <w:sz w:val="18"/>
          <w:szCs w:val="18"/>
        </w:rPr>
        <w:br/>
        <w:t xml:space="preserve">|   |-- nlp/                 # Engine 4 (duplicate-work clustering)</w:t>
      </w:r>
      <w:r>
        <w:rPr>
          <w:rFonts w:ascii="Consolas" w:cs="Consolas" w:eastAsia="Consolas" w:hAnsi="Consolas"/>
          <w:sz w:val="18"/>
          <w:szCs w:val="18"/>
        </w:rPr>
        <w:br/>
        <w:t xml:space="preserve">|   |-- cv/                  # Engine 3 (pHash + SIFT/ORB)</w:t>
      </w:r>
      <w:r>
        <w:rPr>
          <w:rFonts w:ascii="Consolas" w:cs="Consolas" w:eastAsia="Consolas" w:hAnsi="Consolas"/>
          <w:sz w:val="18"/>
          <w:szCs w:val="18"/>
        </w:rPr>
        <w:br/>
        <w:t xml:space="preserve">|   |-- forecast/            # Engine 6 (fund-absorption trend)</w:t>
      </w:r>
      <w:r>
        <w:rPr>
          <w:rFonts w:ascii="Consolas" w:cs="Consolas" w:eastAsia="Consolas" w:hAnsi="Consolas"/>
          <w:sz w:val="18"/>
          <w:szCs w:val="18"/>
        </w:rPr>
        <w:br/>
        <w:t xml:space="preserve">|   |-- fusion/              # Engine 7</w:t>
      </w:r>
      <w:r>
        <w:rPr>
          <w:rFonts w:ascii="Consolas" w:cs="Consolas" w:eastAsia="Consolas" w:hAnsi="Consolas"/>
          <w:sz w:val="18"/>
          <w:szCs w:val="18"/>
        </w:rPr>
        <w:br/>
        <w:t xml:space="preserve">|   |-- calibration/         # Engine 8</w:t>
      </w:r>
      <w:r>
        <w:rPr>
          <w:rFonts w:ascii="Consolas" w:cs="Consolas" w:eastAsia="Consolas" w:hAnsi="Consolas"/>
          <w:sz w:val="18"/>
          <w:szCs w:val="18"/>
        </w:rPr>
        <w:br/>
        <w:t xml:space="preserve">|   `-- evaluation/          # fraud_injection.py + synthetic-case harness</w:t>
      </w:r>
      <w:r>
        <w:rPr>
          <w:rFonts w:ascii="Consolas" w:cs="Consolas" w:eastAsia="Consolas" w:hAnsi="Consolas"/>
          <w:sz w:val="18"/>
          <w:szCs w:val="18"/>
        </w:rPr>
        <w:br/>
        <w:t xml:space="preserve">|-- pipelines/</w:t>
      </w:r>
      <w:r>
        <w:rPr>
          <w:rFonts w:ascii="Consolas" w:cs="Consolas" w:eastAsia="Consolas" w:hAnsi="Consolas"/>
          <w:sz w:val="18"/>
          <w:szCs w:val="18"/>
        </w:rPr>
        <w:br/>
        <w:t xml:space="preserve">|   |-- consolidate.py       # already built — Phase 0 feature foundation</w:t>
      </w:r>
      <w:r>
        <w:rPr>
          <w:rFonts w:ascii="Consolas" w:cs="Consolas" w:eastAsia="Consolas" w:hAnsi="Consolas"/>
          <w:sz w:val="18"/>
          <w:szCs w:val="18"/>
        </w:rPr>
        <w:br/>
        <w:t xml:space="preserve">|   `-- run_pipeline.py      # orchestrates ingestion -&gt; engines -&gt; fusion</w:t>
      </w:r>
      <w:r>
        <w:rPr>
          <w:rFonts w:ascii="Consolas" w:cs="Consolas" w:eastAsia="Consolas" w:hAnsi="Consolas"/>
          <w:sz w:val="18"/>
          <w:szCs w:val="18"/>
        </w:rPr>
        <w:br/>
        <w:t xml:space="preserve">|-- data/                    # mplads_india/, mplads_images/ (gitignored, scrape output)</w:t>
      </w:r>
      <w:r>
        <w:rPr>
          <w:rFonts w:ascii="Consolas" w:cs="Consolas" w:eastAsia="Consolas" w:hAnsi="Consolas"/>
          <w:sz w:val="18"/>
          <w:szCs w:val="18"/>
        </w:rPr>
        <w:br/>
        <w:t xml:space="preserve">|-- notebooks/               # EDA, threshold tuning, injection-harness validation</w:t>
      </w:r>
      <w:r>
        <w:rPr>
          <w:rFonts w:ascii="Consolas" w:cs="Consolas" w:eastAsia="Consolas" w:hAnsi="Consolas"/>
          <w:sz w:val="18"/>
          <w:szCs w:val="18"/>
        </w:rPr>
        <w:br/>
        <w:t xml:space="preserve">|-- tests/</w:t>
      </w:r>
      <w:r>
        <w:rPr>
          <w:rFonts w:ascii="Consolas" w:cs="Consolas" w:eastAsia="Consolas" w:hAnsi="Consolas"/>
          <w:sz w:val="18"/>
          <w:szCs w:val="18"/>
        </w:rPr>
        <w:br/>
        <w:t xml:space="preserve">|-- docs/</w:t>
      </w:r>
      <w:r>
        <w:rPr>
          <w:rFonts w:ascii="Consolas" w:cs="Consolas" w:eastAsia="Consolas" w:hAnsi="Consolas"/>
          <w:sz w:val="18"/>
          <w:szCs w:val="18"/>
        </w:rPr>
        <w:br/>
        <w:t xml:space="preserve">|-- docker/</w:t>
      </w:r>
      <w:r>
        <w:rPr>
          <w:rFonts w:ascii="Consolas" w:cs="Consolas" w:eastAsia="Consolas" w:hAnsi="Consolas"/>
          <w:sz w:val="18"/>
          <w:szCs w:val="18"/>
        </w:rPr>
        <w:br/>
        <w:t xml:space="preserve">`-- README.md</w:t>
      </w:r>
    </w:p>
    <w:p>
      <w:pPr>
        <w:pStyle w:val="Heading1"/>
        <w:pageBreakBefore/>
        <w:spacing w:after="200" w:before="200"/>
      </w:pPr>
      <w:r>
        <w:rPr>
          <w:b/>
          <w:bCs/>
          <w:color w:val="1F3864"/>
        </w:rPr>
        <w:t xml:space="preserve">Part H — Model Development Plan</w:t>
      </w:r>
    </w:p>
    <w:p>
      <w:pPr>
        <w:pStyle w:val="Heading2"/>
        <w:spacing w:after="120" w:before="240"/>
      </w:pPr>
      <w:r>
        <w:rPr>
          <w:b/>
          <w:bCs/>
          <w:color w:val="2E74B5"/>
        </w:rPr>
        <w:t xml:space="preserve">What actually gets trained vs. not</w:t>
      </w:r>
    </w:p>
    <w:tbl>
      <w:tblPr>
        <w:tblW w:type="dxa" w:w="8800"/>
        <w:tblBorders>
          <w:top w:val="single" w:color="999999" w:sz="2"/>
          <w:left w:val="single" w:color="999999" w:sz="2"/>
          <w:bottom w:val="single" w:color="999999" w:sz="2"/>
          <w:right w:val="single" w:color="999999" w:sz="2"/>
          <w:insideH w:val="single" w:color="CCCCCC" w:sz="2"/>
          <w:insideV w:val="single" w:color="CCCCCC" w:sz="2"/>
        </w:tblBorders>
      </w:tblPr>
      <w:tblGrid>
        <w:gridCol w:w="2300"/>
        <w:gridCol w:w="2300"/>
        <w:gridCol w:w="4200"/>
      </w:tblGrid>
      <w:tr>
        <w:trPr>
          <w:tblHeader/>
        </w:trPr>
        <w:tc>
          <w:tcPr>
            <w:tcW w:type="dxa" w:w="2300"/>
            <w:shd w:fill="1F3864" w:val="clear"/>
            <w:tcMar>
              <w:top w:type="dxa" w:w="60"/>
              <w:left w:type="dxa" w:w="100"/>
              <w:bottom w:type="dxa" w:w="60"/>
              <w:right w:type="dxa" w:w="100"/>
            </w:tcMar>
            <w:vAlign w:val="center"/>
          </w:tcPr>
          <w:p>
            <w:r>
              <w:rPr>
                <w:b/>
                <w:bCs/>
                <w:color w:val="FFFFFF"/>
                <w:sz w:val="19"/>
                <w:szCs w:val="19"/>
              </w:rPr>
              <w:t xml:space="preserve">Component</w:t>
            </w:r>
          </w:p>
        </w:tc>
        <w:tc>
          <w:tcPr>
            <w:tcW w:type="dxa" w:w="2300"/>
            <w:shd w:fill="1F3864" w:val="clear"/>
            <w:tcMar>
              <w:top w:type="dxa" w:w="60"/>
              <w:left w:type="dxa" w:w="100"/>
              <w:bottom w:type="dxa" w:w="60"/>
              <w:right w:type="dxa" w:w="100"/>
            </w:tcMar>
            <w:vAlign w:val="center"/>
          </w:tcPr>
          <w:p>
            <w:r>
              <w:rPr>
                <w:b/>
                <w:bCs/>
                <w:color w:val="FFFFFF"/>
                <w:sz w:val="19"/>
                <w:szCs w:val="19"/>
              </w:rPr>
              <w:t xml:space="preserve">Category</w:t>
            </w:r>
          </w:p>
        </w:tc>
        <w:tc>
          <w:tcPr>
            <w:tcW w:type="dxa" w:w="4200"/>
            <w:shd w:fill="1F3864" w:val="clear"/>
            <w:tcMar>
              <w:top w:type="dxa" w:w="60"/>
              <w:left w:type="dxa" w:w="100"/>
              <w:bottom w:type="dxa" w:w="60"/>
              <w:right w:type="dxa" w:w="100"/>
            </w:tcMar>
            <w:vAlign w:val="center"/>
          </w:tcPr>
          <w:p>
            <w:r>
              <w:rPr>
                <w:b/>
                <w:bCs/>
                <w:color w:val="FFFFFF"/>
                <w:sz w:val="19"/>
                <w:szCs w:val="19"/>
              </w:rPr>
              <w:t xml:space="preserve">Detail</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PolicyCode MPLADS (Engine 1)</w:t>
            </w:r>
          </w:p>
        </w:tc>
        <w:tc>
          <w:tcPr>
            <w:tcW w:type="dxa" w:w="2300"/>
            <w:tcMar>
              <w:top w:type="dxa" w:w="60"/>
              <w:left w:type="dxa" w:w="100"/>
              <w:bottom w:type="dxa" w:w="60"/>
              <w:right w:type="dxa" w:w="100"/>
            </w:tcMar>
            <w:vAlign w:val="center"/>
          </w:tcPr>
          <w:p>
            <w:r>
              <w:rPr>
                <w:b w:val="false"/>
                <w:bCs w:val="false"/>
                <w:color w:val="000000"/>
                <w:sz w:val="19"/>
                <w:szCs w:val="19"/>
              </w:rPr>
              <w:t xml:space="preserve">Rule-based, no model</w:t>
            </w:r>
          </w:p>
        </w:tc>
        <w:tc>
          <w:tcPr>
            <w:tcW w:type="dxa" w:w="4200"/>
            <w:tcMar>
              <w:top w:type="dxa" w:w="60"/>
              <w:left w:type="dxa" w:w="100"/>
              <w:bottom w:type="dxa" w:w="60"/>
              <w:right w:type="dxa" w:w="100"/>
            </w:tcMar>
            <w:vAlign w:val="center"/>
          </w:tcPr>
          <w:p>
            <w:r>
              <w:rPr>
                <w:b w:val="false"/>
                <w:bCs w:val="false"/>
                <w:color w:val="000000"/>
                <w:sz w:val="19"/>
                <w:szCs w:val="19"/>
              </w:rPr>
              <w:t xml:space="preserve">Thresholds sourced from GFR/MPLADS guideline text and recomputed peer statistics — never "trained."</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Idle-Fund Detector (Engine 5)</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Rule-based, no model</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Percentile threshold vs peer group.</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Isolation Forest (Engine 2)</w:t>
            </w:r>
          </w:p>
        </w:tc>
        <w:tc>
          <w:tcPr>
            <w:tcW w:type="dxa" w:w="2300"/>
            <w:tcMar>
              <w:top w:type="dxa" w:w="60"/>
              <w:left w:type="dxa" w:w="100"/>
              <w:bottom w:type="dxa" w:w="60"/>
              <w:right w:type="dxa" w:w="100"/>
            </w:tcMar>
            <w:vAlign w:val="center"/>
          </w:tcPr>
          <w:p>
            <w:r>
              <w:rPr>
                <w:b w:val="false"/>
                <w:bCs w:val="false"/>
                <w:color w:val="000000"/>
                <w:sz w:val="19"/>
                <w:szCs w:val="19"/>
              </w:rPr>
              <w:t xml:space="preserve">Trained (fit), unsupervised</w:t>
            </w:r>
          </w:p>
        </w:tc>
        <w:tc>
          <w:tcPr>
            <w:tcW w:type="dxa" w:w="4200"/>
            <w:tcMar>
              <w:top w:type="dxa" w:w="60"/>
              <w:left w:type="dxa" w:w="100"/>
              <w:bottom w:type="dxa" w:w="60"/>
              <w:right w:type="dxa" w:w="100"/>
            </w:tcMar>
            <w:vAlign w:val="center"/>
          </w:tcPr>
          <w:p>
            <w:r>
              <w:rPr>
                <w:b w:val="false"/>
                <w:bCs w:val="false"/>
                <w:color w:val="000000"/>
                <w:sz w:val="19"/>
                <w:szCs w:val="19"/>
              </w:rPr>
              <w:t xml:space="preserve">Fit per WORK_CATEGORY on engineered features; re-fit each pipeline run; no labels used.</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Fund-Absorption Forecast (Engine 6)</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Trained (fit), simple regression</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Per-MP/state linear trend fit on observed quarterly utilization.</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Sentence-Transformer (Engine 4)</w:t>
            </w:r>
          </w:p>
        </w:tc>
        <w:tc>
          <w:tcPr>
            <w:tcW w:type="dxa" w:w="2300"/>
            <w:tcMar>
              <w:top w:type="dxa" w:w="60"/>
              <w:left w:type="dxa" w:w="100"/>
              <w:bottom w:type="dxa" w:w="60"/>
              <w:right w:type="dxa" w:w="100"/>
            </w:tcMar>
            <w:vAlign w:val="center"/>
          </w:tcPr>
          <w:p>
            <w:r>
              <w:rPr>
                <w:b w:val="false"/>
                <w:bCs w:val="false"/>
                <w:color w:val="000000"/>
                <w:sz w:val="19"/>
                <w:szCs w:val="19"/>
              </w:rPr>
              <w:t xml:space="preserve">Pretrained, inference-only</w:t>
            </w:r>
          </w:p>
        </w:tc>
        <w:tc>
          <w:tcPr>
            <w:tcW w:type="dxa" w:w="4200"/>
            <w:tcMar>
              <w:top w:type="dxa" w:w="60"/>
              <w:left w:type="dxa" w:w="100"/>
              <w:bottom w:type="dxa" w:w="60"/>
              <w:right w:type="dxa" w:w="100"/>
            </w:tcMar>
            <w:vAlign w:val="center"/>
          </w:tcPr>
          <w:p>
            <w:r>
              <w:rPr>
                <w:b w:val="false"/>
                <w:bCs w:val="false"/>
                <w:color w:val="000000"/>
                <w:sz w:val="19"/>
                <w:szCs w:val="19"/>
              </w:rPr>
              <w:t xml:space="preserve">all-MiniLM-L6-v2 used purely to embed text; no fine-tuning.</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pHash / SIFT / ORB (Engine 3)</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Deterministic, not a model</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Classical CV — hashing and keypoint matching, no learning involved.</w:t>
            </w:r>
          </w:p>
        </w:tc>
      </w:tr>
      <w:tr>
        <w:tc>
          <w:tcPr>
            <w:tcW w:type="dxa" w:w="2300"/>
            <w:tcMar>
              <w:top w:type="dxa" w:w="60"/>
              <w:left w:type="dxa" w:w="100"/>
              <w:bottom w:type="dxa" w:w="60"/>
              <w:right w:type="dxa" w:w="100"/>
            </w:tcMar>
            <w:vAlign w:val="center"/>
          </w:tcPr>
          <w:p>
            <w:r>
              <w:rPr>
                <w:b w:val="false"/>
                <w:bCs w:val="false"/>
                <w:color w:val="000000"/>
                <w:sz w:val="19"/>
                <w:szCs w:val="19"/>
              </w:rPr>
              <w:t xml:space="preserve">Risk Fusion (Engine 7)</w:t>
            </w:r>
          </w:p>
        </w:tc>
        <w:tc>
          <w:tcPr>
            <w:tcW w:type="dxa" w:w="2300"/>
            <w:tcMar>
              <w:top w:type="dxa" w:w="60"/>
              <w:left w:type="dxa" w:w="100"/>
              <w:bottom w:type="dxa" w:w="60"/>
              <w:right w:type="dxa" w:w="100"/>
            </w:tcMar>
            <w:vAlign w:val="center"/>
          </w:tcPr>
          <w:p>
            <w:r>
              <w:rPr>
                <w:b w:val="false"/>
                <w:bCs w:val="false"/>
                <w:color w:val="000000"/>
                <w:sz w:val="19"/>
                <w:szCs w:val="19"/>
              </w:rPr>
              <w:t xml:space="preserve">Rule-based (expert weights)</w:t>
            </w:r>
          </w:p>
        </w:tc>
        <w:tc>
          <w:tcPr>
            <w:tcW w:type="dxa" w:w="4200"/>
            <w:tcMar>
              <w:top w:type="dxa" w:w="60"/>
              <w:left w:type="dxa" w:w="100"/>
              <w:bottom w:type="dxa" w:w="60"/>
              <w:right w:type="dxa" w:w="100"/>
            </w:tcMar>
            <w:vAlign w:val="center"/>
          </w:tcPr>
          <w:p>
            <w:r>
              <w:rPr>
                <w:b w:val="false"/>
                <w:bCs w:val="false"/>
                <w:color w:val="000000"/>
                <w:sz w:val="19"/>
                <w:szCs w:val="19"/>
              </w:rPr>
              <w:t xml:space="preserve">Not trained in the MVP; weights are CAG-severity-ranked defaults.</w:t>
            </w:r>
          </w:p>
        </w:tc>
      </w:tr>
      <w:tr>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Calibration (Engine 8)</w:t>
            </w:r>
          </w:p>
        </w:tc>
        <w:tc>
          <w:tcPr>
            <w:tcW w:type="dxa" w:w="2300"/>
            <w:shd w:fill="F2F2F2" w:val="clear"/>
            <w:tcMar>
              <w:top w:type="dxa" w:w="60"/>
              <w:left w:type="dxa" w:w="100"/>
              <w:bottom w:type="dxa" w:w="60"/>
              <w:right w:type="dxa" w:w="100"/>
            </w:tcMar>
            <w:vAlign w:val="center"/>
          </w:tcPr>
          <w:p>
            <w:r>
              <w:rPr>
                <w:b w:val="false"/>
                <w:bCs w:val="false"/>
                <w:color w:val="000000"/>
                <w:sz w:val="19"/>
                <w:szCs w:val="19"/>
              </w:rPr>
              <w:t xml:space="preserve">Lightweight statistical update</w:t>
            </w:r>
          </w:p>
        </w:tc>
        <w:tc>
          <w:tcPr>
            <w:tcW w:type="dxa" w:w="4200"/>
            <w:shd w:fill="F2F2F2" w:val="clear"/>
            <w:tcMar>
              <w:top w:type="dxa" w:w="60"/>
              <w:left w:type="dxa" w:w="100"/>
              <w:bottom w:type="dxa" w:w="60"/>
              <w:right w:type="dxa" w:w="100"/>
            </w:tcMar>
            <w:vAlign w:val="center"/>
          </w:tcPr>
          <w:p>
            <w:r>
              <w:rPr>
                <w:b w:val="false"/>
                <w:bCs w:val="false"/>
                <w:color w:val="000000"/>
                <w:sz w:val="19"/>
                <w:szCs w:val="19"/>
              </w:rPr>
              <w:t xml:space="preserve">Bounded weight nudge from confirm/dismiss rates — deliberately not a supervised classifier, given realistic feedback volume.</w:t>
            </w:r>
          </w:p>
        </w:tc>
      </w:tr>
    </w:tbl>
    <w:p>
      <w:pPr>
        <w:pStyle w:val="Heading1"/>
        <w:pageBreakBefore/>
        <w:spacing w:after="200" w:before="200"/>
      </w:pPr>
      <w:r>
        <w:rPr>
          <w:b/>
          <w:bCs/>
          <w:color w:val="1F3864"/>
        </w:rPr>
        <w:t xml:space="preserve">Part I — Hybrid Detection Engine</w:t>
      </w:r>
    </w:p>
    <w:p>
      <w:pPr>
        <w:spacing w:after="120"/>
      </w:pPr>
      <w:r>
        <w:rPr>
          <w:b w:val="false"/>
          <w:bCs w:val="false"/>
          <w:i w:val="false"/>
          <w:iCs w:val="false"/>
        </w:rPr>
        <w:t xml:space="preserve">Every work is scored by all five detection engines independently, then combined by the Risk Fusion Engine (Part B, Engine 7). Disagreement between detectors is resolved by the severity floor, not by averaging it away — a single near-certain signal always dominates.</w:t>
      </w:r>
    </w:p>
    <w:p>
      <w:pPr>
        <w:pStyle w:val="Heading3"/>
        <w:spacing w:after="80" w:before="180"/>
      </w:pPr>
      <w:r>
        <w:rPr>
          <w:b/>
          <w:bCs/>
        </w:rPr>
        <w:t xml:space="preserve">Worked example</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000"/>
        <w:gridCol w:w="3200"/>
        <w:gridCol w:w="3100"/>
      </w:tblGrid>
      <w:tr>
        <w:trPr>
          <w:tblHeader/>
        </w:trPr>
        <w:tc>
          <w:tcPr>
            <w:tcW w:type="dxa" w:w="3000"/>
            <w:shd w:fill="1F3864" w:val="clear"/>
            <w:tcMar>
              <w:top w:type="dxa" w:w="60"/>
              <w:left w:type="dxa" w:w="100"/>
              <w:bottom w:type="dxa" w:w="60"/>
              <w:right w:type="dxa" w:w="100"/>
            </w:tcMar>
            <w:vAlign w:val="center"/>
          </w:tcPr>
          <w:p>
            <w:r>
              <w:rPr>
                <w:b/>
                <w:bCs/>
                <w:color w:val="FFFFFF"/>
                <w:sz w:val="19"/>
                <w:szCs w:val="19"/>
              </w:rPr>
              <w:t xml:space="preserve">Engine</w:t>
            </w:r>
          </w:p>
        </w:tc>
        <w:tc>
          <w:tcPr>
            <w:tcW w:type="dxa" w:w="3200"/>
            <w:shd w:fill="1F3864" w:val="clear"/>
            <w:tcMar>
              <w:top w:type="dxa" w:w="60"/>
              <w:left w:type="dxa" w:w="100"/>
              <w:bottom w:type="dxa" w:w="60"/>
              <w:right w:type="dxa" w:w="100"/>
            </w:tcMar>
            <w:vAlign w:val="center"/>
          </w:tcPr>
          <w:p>
            <w:r>
              <w:rPr>
                <w:b/>
                <w:bCs/>
                <w:color w:val="FFFFFF"/>
                <w:sz w:val="19"/>
                <w:szCs w:val="19"/>
              </w:rPr>
              <w:t xml:space="preserve">Signal on this work</w:t>
            </w:r>
          </w:p>
        </w:tc>
        <w:tc>
          <w:tcPr>
            <w:tcW w:type="dxa" w:w="3100"/>
            <w:shd w:fill="1F3864" w:val="clear"/>
            <w:tcMar>
              <w:top w:type="dxa" w:w="60"/>
              <w:left w:type="dxa" w:w="100"/>
              <w:bottom w:type="dxa" w:w="60"/>
              <w:right w:type="dxa" w:w="100"/>
            </w:tcMar>
            <w:vAlign w:val="center"/>
          </w:tcPr>
          <w:p>
            <w:r>
              <w:rPr>
                <w:b/>
                <w:bCs/>
                <w:color w:val="FFFFFF"/>
                <w:sz w:val="19"/>
                <w:szCs w:val="19"/>
              </w:rPr>
              <w:t xml:space="preserve">Contribution</w:t>
            </w:r>
          </w:p>
        </w:tc>
      </w:tr>
      <w:tr>
        <w:tc>
          <w:tcPr>
            <w:tcW w:type="dxa" w:w="3000"/>
            <w:tcMar>
              <w:top w:type="dxa" w:w="60"/>
              <w:left w:type="dxa" w:w="100"/>
              <w:bottom w:type="dxa" w:w="60"/>
              <w:right w:type="dxa" w:w="100"/>
            </w:tcMar>
            <w:vAlign w:val="center"/>
          </w:tcPr>
          <w:p>
            <w:r>
              <w:rPr>
                <w:b w:val="false"/>
                <w:bCs w:val="false"/>
                <w:color w:val="000000"/>
                <w:sz w:val="19"/>
                <w:szCs w:val="19"/>
              </w:rPr>
              <w:t xml:space="preserve">PolicyCode MPLADS</w:t>
            </w:r>
          </w:p>
        </w:tc>
        <w:tc>
          <w:tcPr>
            <w:tcW w:type="dxa" w:w="3200"/>
            <w:tcMar>
              <w:top w:type="dxa" w:w="60"/>
              <w:left w:type="dxa" w:w="100"/>
              <w:bottom w:type="dxa" w:w="60"/>
              <w:right w:type="dxa" w:w="100"/>
            </w:tcMar>
            <w:vAlign w:val="center"/>
          </w:tcPr>
          <w:p>
            <w:r>
              <w:rPr>
                <w:b w:val="false"/>
                <w:bCs w:val="false"/>
                <w:color w:val="000000"/>
                <w:sz w:val="19"/>
                <w:szCs w:val="19"/>
              </w:rPr>
              <w:t xml:space="preserve">GFR Rule 163 split-work cluster confirmed</w:t>
            </w:r>
          </w:p>
        </w:tc>
        <w:tc>
          <w:tcPr>
            <w:tcW w:type="dxa" w:w="3100"/>
            <w:tcMar>
              <w:top w:type="dxa" w:w="60"/>
              <w:left w:type="dxa" w:w="100"/>
              <w:bottom w:type="dxa" w:w="60"/>
              <w:right w:type="dxa" w:w="100"/>
            </w:tcMar>
            <w:vAlign w:val="center"/>
          </w:tcPr>
          <w:p>
            <w:r>
              <w:rPr>
                <w:b w:val="false"/>
                <w:bCs w:val="false"/>
                <w:color w:val="000000"/>
                <w:sz w:val="19"/>
                <w:szCs w:val="19"/>
              </w:rPr>
              <w:t xml:space="preserve">Near-certain — triggers severity floor</w:t>
            </w:r>
          </w:p>
        </w:tc>
      </w:tr>
      <w:tr>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Isolation Forest</w:t>
            </w:r>
          </w:p>
        </w:tc>
        <w:tc>
          <w:tcPr>
            <w:tcW w:type="dxa" w:w="3200"/>
            <w:shd w:fill="F2F2F2" w:val="clear"/>
            <w:tcMar>
              <w:top w:type="dxa" w:w="60"/>
              <w:left w:type="dxa" w:w="100"/>
              <w:bottom w:type="dxa" w:w="60"/>
              <w:right w:type="dxa" w:w="100"/>
            </w:tcMar>
            <w:vAlign w:val="center"/>
          </w:tcPr>
          <w:p>
            <w:r>
              <w:rPr>
                <w:b w:val="false"/>
                <w:bCs w:val="false"/>
                <w:color w:val="000000"/>
                <w:sz w:val="19"/>
                <w:szCs w:val="19"/>
              </w:rPr>
              <w:t xml:space="preserve">Moderate multivariate anomaly (score in the 8th percentile)</w:t>
            </w:r>
          </w:p>
        </w:tc>
        <w:tc>
          <w:tcPr>
            <w:tcW w:type="dxa" w:w="3100"/>
            <w:shd w:fill="F2F2F2" w:val="clear"/>
            <w:tcMar>
              <w:top w:type="dxa" w:w="60"/>
              <w:left w:type="dxa" w:w="100"/>
              <w:bottom w:type="dxa" w:w="60"/>
              <w:right w:type="dxa" w:w="100"/>
            </w:tcMar>
            <w:vAlign w:val="center"/>
          </w:tcPr>
          <w:p>
            <w:r>
              <w:rPr>
                <w:b w:val="false"/>
                <w:bCs w:val="false"/>
                <w:color w:val="000000"/>
                <w:sz w:val="19"/>
                <w:szCs w:val="19"/>
              </w:rPr>
              <w:t xml:space="preserve">Weighted contribution, not decisive alone</w:t>
            </w:r>
          </w:p>
        </w:tc>
      </w:tr>
      <w:tr>
        <w:tc>
          <w:tcPr>
            <w:tcW w:type="dxa" w:w="3000"/>
            <w:tcMar>
              <w:top w:type="dxa" w:w="60"/>
              <w:left w:type="dxa" w:w="100"/>
              <w:bottom w:type="dxa" w:w="60"/>
              <w:right w:type="dxa" w:w="100"/>
            </w:tcMar>
            <w:vAlign w:val="center"/>
          </w:tcPr>
          <w:p>
            <w:r>
              <w:rPr>
                <w:b w:val="false"/>
                <w:bCs w:val="false"/>
                <w:color w:val="000000"/>
                <w:sz w:val="19"/>
                <w:szCs w:val="19"/>
              </w:rPr>
              <w:t xml:space="preserve">Photo-Reuse</w:t>
            </w:r>
          </w:p>
        </w:tc>
        <w:tc>
          <w:tcPr>
            <w:tcW w:type="dxa" w:w="3200"/>
            <w:tcMar>
              <w:top w:type="dxa" w:w="60"/>
              <w:left w:type="dxa" w:w="100"/>
              <w:bottom w:type="dxa" w:w="60"/>
              <w:right w:type="dxa" w:w="100"/>
            </w:tcMar>
            <w:vAlign w:val="center"/>
          </w:tcPr>
          <w:p>
            <w:r>
              <w:rPr>
                <w:b w:val="false"/>
                <w:bCs w:val="false"/>
                <w:color w:val="000000"/>
                <w:sz w:val="19"/>
                <w:szCs w:val="19"/>
              </w:rPr>
              <w:t xml:space="preserve">No match found</w:t>
            </w:r>
          </w:p>
        </w:tc>
        <w:tc>
          <w:tcPr>
            <w:tcW w:type="dxa" w:w="3100"/>
            <w:tcMar>
              <w:top w:type="dxa" w:w="60"/>
              <w:left w:type="dxa" w:w="100"/>
              <w:bottom w:type="dxa" w:w="60"/>
              <w:right w:type="dxa" w:w="100"/>
            </w:tcMar>
            <w:vAlign w:val="center"/>
          </w:tcPr>
          <w:p>
            <w:r>
              <w:rPr>
                <w:b w:val="false"/>
                <w:bCs w:val="false"/>
                <w:color w:val="000000"/>
                <w:sz w:val="19"/>
                <w:szCs w:val="19"/>
              </w:rPr>
              <w:t xml:space="preserve">0 contribution</w:t>
            </w:r>
          </w:p>
        </w:tc>
      </w:tr>
      <w:tr>
        <w:tc>
          <w:tcPr>
            <w:tcW w:type="dxa" w:w="3000"/>
            <w:shd w:fill="F2F2F2" w:val="clear"/>
            <w:tcMar>
              <w:top w:type="dxa" w:w="60"/>
              <w:left w:type="dxa" w:w="100"/>
              <w:bottom w:type="dxa" w:w="60"/>
              <w:right w:type="dxa" w:w="100"/>
            </w:tcMar>
            <w:vAlign w:val="center"/>
          </w:tcPr>
          <w:p>
            <w:r>
              <w:rPr>
                <w:b w:val="false"/>
                <w:bCs w:val="false"/>
                <w:color w:val="000000"/>
                <w:sz w:val="19"/>
                <w:szCs w:val="19"/>
              </w:rPr>
              <w:t xml:space="preserve">NLP Duplicate-Work</w:t>
            </w:r>
          </w:p>
        </w:tc>
        <w:tc>
          <w:tcPr>
            <w:tcW w:type="dxa" w:w="3200"/>
            <w:shd w:fill="F2F2F2" w:val="clear"/>
            <w:tcMar>
              <w:top w:type="dxa" w:w="60"/>
              <w:left w:type="dxa" w:w="100"/>
              <w:bottom w:type="dxa" w:w="60"/>
              <w:right w:type="dxa" w:w="100"/>
            </w:tcMar>
            <w:vAlign w:val="center"/>
          </w:tcPr>
          <w:p>
            <w:r>
              <w:rPr>
                <w:b w:val="false"/>
                <w:bCs w:val="false"/>
                <w:color w:val="000000"/>
                <w:sz w:val="19"/>
                <w:szCs w:val="19"/>
              </w:rPr>
              <w:t xml:space="preserve">No cross-year cluster found</w:t>
            </w:r>
          </w:p>
        </w:tc>
        <w:tc>
          <w:tcPr>
            <w:tcW w:type="dxa" w:w="3100"/>
            <w:shd w:fill="F2F2F2" w:val="clear"/>
            <w:tcMar>
              <w:top w:type="dxa" w:w="60"/>
              <w:left w:type="dxa" w:w="100"/>
              <w:bottom w:type="dxa" w:w="60"/>
              <w:right w:type="dxa" w:w="100"/>
            </w:tcMar>
            <w:vAlign w:val="center"/>
          </w:tcPr>
          <w:p>
            <w:r>
              <w:rPr>
                <w:b w:val="false"/>
                <w:bCs w:val="false"/>
                <w:color w:val="000000"/>
                <w:sz w:val="19"/>
                <w:szCs w:val="19"/>
              </w:rPr>
              <w:t xml:space="preserve">0 contribution</w:t>
            </w:r>
          </w:p>
        </w:tc>
      </w:tr>
      <w:tr>
        <w:tc>
          <w:tcPr>
            <w:tcW w:type="dxa" w:w="3000"/>
            <w:tcMar>
              <w:top w:type="dxa" w:w="60"/>
              <w:left w:type="dxa" w:w="100"/>
              <w:bottom w:type="dxa" w:w="60"/>
              <w:right w:type="dxa" w:w="100"/>
            </w:tcMar>
            <w:vAlign w:val="center"/>
          </w:tcPr>
          <w:p>
            <w:r>
              <w:rPr>
                <w:b w:val="false"/>
                <w:bCs w:val="false"/>
                <w:color w:val="000000"/>
                <w:sz w:val="19"/>
                <w:szCs w:val="19"/>
              </w:rPr>
              <w:t xml:space="preserve">Idle-Fund</w:t>
            </w:r>
          </w:p>
        </w:tc>
        <w:tc>
          <w:tcPr>
            <w:tcW w:type="dxa" w:w="3200"/>
            <w:tcMar>
              <w:top w:type="dxa" w:w="60"/>
              <w:left w:type="dxa" w:w="100"/>
              <w:bottom w:type="dxa" w:w="60"/>
              <w:right w:type="dxa" w:w="100"/>
            </w:tcMar>
            <w:vAlign w:val="center"/>
          </w:tcPr>
          <w:p>
            <w:r>
              <w:rPr>
                <w:b w:val="false"/>
                <w:bCs w:val="false"/>
                <w:color w:val="000000"/>
                <w:sz w:val="19"/>
                <w:szCs w:val="19"/>
              </w:rPr>
              <w:t xml:space="preserve">Not applicable (work is complete)</w:t>
            </w:r>
          </w:p>
        </w:tc>
        <w:tc>
          <w:tcPr>
            <w:tcW w:type="dxa" w:w="3100"/>
            <w:tcMar>
              <w:top w:type="dxa" w:w="60"/>
              <w:left w:type="dxa" w:w="100"/>
              <w:bottom w:type="dxa" w:w="60"/>
              <w:right w:type="dxa" w:w="100"/>
            </w:tcMar>
            <w:vAlign w:val="center"/>
          </w:tcPr>
          <w:p>
            <w:r>
              <w:rPr>
                <w:b w:val="false"/>
                <w:bCs w:val="false"/>
                <w:color w:val="000000"/>
                <w:sz w:val="19"/>
                <w:szCs w:val="19"/>
              </w:rPr>
              <w:t xml:space="preserve">0 contribution</w:t>
            </w:r>
          </w:p>
        </w:tc>
      </w:tr>
    </w:tbl>
    <w:p>
      <w:pPr>
        <w:spacing w:after="120"/>
      </w:pPr>
      <w:r>
        <w:rPr>
          <w:b w:val="false"/>
          <w:bCs w:val="false"/>
          <w:i w:val="false"/>
          <w:iCs w:val="false"/>
        </w:rPr>
        <w:t xml:space="preserve">Result: Overall Risk = Critical (81+), driven by the Rule 163 severity floor even though only one of five engines fired strongly — matching how a human investigator would actually weigh one confirmed guideline violation against several quiet, inconclusive signals.</w:t>
      </w:r>
    </w:p>
    <w:p>
      <w:pPr>
        <w:pStyle w:val="Heading1"/>
        <w:pageBreakBefore/>
        <w:spacing w:after="200" w:before="200"/>
      </w:pPr>
      <w:r>
        <w:rPr>
          <w:b/>
          <w:bCs/>
          <w:color w:val="1F3864"/>
        </w:rPr>
        <w:t xml:space="preserve">Part J — Explainable AI</w:t>
      </w:r>
    </w:p>
    <w:p>
      <w:pPr>
        <w:spacing w:after="120"/>
      </w:pPr>
      <w:r>
        <w:rPr>
          <w:b w:val="false"/>
          <w:bCs w:val="false"/>
          <w:i w:val="false"/>
          <w:iCs w:val="false"/>
        </w:rPr>
        <w:t xml:space="preserve">What an officer sees on a flagged work's risk card, end to end:</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Section</w:t>
            </w:r>
          </w:p>
        </w:tc>
        <w:tc>
          <w:tcPr>
            <w:tcW w:type="dxa" w:w="7100"/>
            <w:shd w:fill="1F3864" w:val="clear"/>
            <w:tcMar>
              <w:top w:type="dxa" w:w="60"/>
              <w:left w:type="dxa" w:w="100"/>
              <w:bottom w:type="dxa" w:w="60"/>
              <w:right w:type="dxa" w:w="100"/>
            </w:tcMar>
            <w:vAlign w:val="center"/>
          </w:tcPr>
          <w:p>
            <w:r>
              <w:rPr>
                <w:b/>
                <w:bCs/>
                <w:color w:val="FFFFFF"/>
                <w:sz w:val="19"/>
                <w:szCs w:val="19"/>
              </w:rPr>
              <w:t xml:space="preserve">What appears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WHAT happened</w:t>
            </w:r>
          </w:p>
        </w:tc>
        <w:tc>
          <w:tcPr>
            <w:tcW w:type="dxa" w:w="7100"/>
            <w:tcMar>
              <w:top w:type="dxa" w:w="60"/>
              <w:left w:type="dxa" w:w="100"/>
              <w:bottom w:type="dxa" w:w="60"/>
              <w:right w:type="dxa" w:w="100"/>
            </w:tcMar>
            <w:vAlign w:val="center"/>
          </w:tcPr>
          <w:p>
            <w:r>
              <w:rPr>
                <w:b w:val="false"/>
                <w:bCs w:val="false"/>
                <w:color w:val="000000"/>
                <w:sz w:val="19"/>
                <w:szCs w:val="19"/>
              </w:rPr>
              <w:t xml:space="preserve">Risk: 87/100 — Critical. "Road resurfacing work, Pune, flagged for cost outlier and unusually fast completion."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WHY it was flagged</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Reason 1: Cost per unit is 2.6x the district median for this category. Reason 2: Completed in 41 days — faster than 95% of comparable works. Reason 3: Isolation Forest anomaly score in the top 4% for this category.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WHICH evidence</w:t>
            </w:r>
          </w:p>
        </w:tc>
        <w:tc>
          <w:tcPr>
            <w:tcW w:type="dxa" w:w="7100"/>
            <w:tcMar>
              <w:top w:type="dxa" w:w="60"/>
              <w:left w:type="dxa" w:w="100"/>
              <w:bottom w:type="dxa" w:w="60"/>
              <w:right w:type="dxa" w:w="100"/>
            </w:tcMar>
            <w:vAlign w:val="center"/>
          </w:tcPr>
          <w:p>
            <w:r>
              <w:rPr>
                <w:b w:val="false"/>
                <w:bCs w:val="false"/>
                <w:color w:val="000000"/>
                <w:sz w:val="19"/>
                <w:szCs w:val="19"/>
              </w:rPr>
              <w:t xml:space="preserve">Linked photo thumbnails, the specific peer-group comparison chart, the exact rule text cited (Rule 163 / Sub-10L threshold, where relevant).</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HOW unusual</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Percentile position shown directly against the real peer distribution, not just a raw score.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WHICH related entities</w:t>
            </w:r>
          </w:p>
        </w:tc>
        <w:tc>
          <w:tcPr>
            <w:tcW w:type="dxa" w:w="7100"/>
            <w:tcMar>
              <w:top w:type="dxa" w:w="60"/>
              <w:left w:type="dxa" w:w="100"/>
              <w:bottom w:type="dxa" w:w="60"/>
              <w:right w:type="dxa" w:w="100"/>
            </w:tcMar>
            <w:vAlign w:val="center"/>
          </w:tcPr>
          <w:p>
            <w:r>
              <w:rPr>
                <w:b w:val="false"/>
                <w:bCs w:val="false"/>
                <w:color w:val="000000"/>
                <w:sz w:val="19"/>
                <w:szCs w:val="19"/>
              </w:rPr>
              <w:t xml:space="preserve">Same implementing agency's other flagged works; any duplicate_pair matches (photo or text).</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WHAT to investigate</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A suggested action line generated from the specific signals that fired, e.g. "Verify invoiced material quantities against photographed scope before payment release."</w:t>
            </w:r>
          </w:p>
        </w:tc>
      </w:tr>
    </w:tbl>
    <w:p>
      <w:pPr>
        <w:spacing w:after="120"/>
      </w:pPr>
      <w:r>
        <w:rPr>
          <w:b w:val="false"/>
          <w:bCs w:val="false"/>
          <w:i w:val="false"/>
          <w:iCs w:val="false"/>
        </w:rPr>
        <w:t xml:space="preserve">Nothing on this card is a black-box probability — every number traces to a named rule, a named peer-group statistic, or a SHAP feature contribution the officer can click into.</w:t>
      </w:r>
    </w:p>
    <w:p>
      <w:pPr>
        <w:pStyle w:val="Heading1"/>
        <w:pageBreakBefore/>
        <w:spacing w:after="200" w:before="200"/>
      </w:pPr>
      <w:r>
        <w:rPr>
          <w:b/>
          <w:bCs/>
          <w:color w:val="1F3864"/>
        </w:rPr>
        <w:t xml:space="preserve">Part K — Human-in-the-Loop</w:t>
      </w:r>
    </w:p>
    <w:p>
      <w:pPr>
        <w:pBdr>
          <w:top w:val="single" w:color="CCCCCC" w:sz="2"/>
          <w:bottom w:val="single" w:color="CCCCCC" w:sz="2"/>
          <w:left w:val="single" w:color="CCCCCC" w:sz="2"/>
          <w:right w:val="single" w:color="CCCCCC" w:sz="2"/>
        </w:pBdr>
        <w:shd w:fill="F2F2F2" w:val="clear"/>
        <w:spacing w:after="40"/>
      </w:pPr>
      <w:r>
        <w:rPr>
          <w:rFonts w:ascii="Consolas" w:cs="Consolas" w:eastAsia="Consolas" w:hAnsi="Consolas"/>
          <w:sz w:val="18"/>
          <w:szCs w:val="18"/>
        </w:rPr>
        <w:t xml:space="preserve">Alert</w:t>
      </w:r>
      <w:r>
        <w:rPr>
          <w:rFonts w:ascii="Consolas" w:cs="Consolas" w:eastAsia="Consolas" w:hAnsi="Consolas"/>
          <w:sz w:val="18"/>
          <w:szCs w:val="18"/>
        </w:rPr>
        <w:br/>
        <w:t xml:space="preserve">  -&gt; Officer Review (NAZAR Command Centre, Alerts Queue)</w:t>
      </w:r>
      <w:r>
        <w:rPr>
          <w:rFonts w:ascii="Consolas" w:cs="Consolas" w:eastAsia="Consolas" w:hAnsi="Consolas"/>
          <w:sz w:val="18"/>
          <w:szCs w:val="18"/>
        </w:rPr>
        <w:br/>
        <w:t xml:space="preserve">    -&gt; Evidence (risk card, Part J)</w:t>
      </w:r>
      <w:r>
        <w:rPr>
          <w:rFonts w:ascii="Consolas" w:cs="Consolas" w:eastAsia="Consolas" w:hAnsi="Consolas"/>
          <w:sz w:val="18"/>
          <w:szCs w:val="18"/>
        </w:rPr>
        <w:br/>
        <w:t xml:space="preserve">      -&gt; Decision: Confirm / Dismiss / Needs Investigation  (+ reason_text)</w:t>
      </w:r>
      <w:r>
        <w:rPr>
          <w:rFonts w:ascii="Consolas" w:cs="Consolas" w:eastAsia="Consolas" w:hAnsi="Consolas"/>
          <w:sz w:val="18"/>
          <w:szCs w:val="18"/>
        </w:rPr>
        <w:br/>
        <w:t xml:space="preserve">        -&gt; investigation row written</w:t>
      </w:r>
      <w:r>
        <w:rPr>
          <w:rFonts w:ascii="Consolas" w:cs="Consolas" w:eastAsia="Consolas" w:hAnsi="Consolas"/>
          <w:sz w:val="18"/>
          <w:szCs w:val="18"/>
        </w:rPr>
        <w:br/>
        <w:t xml:space="preserve">          -&gt; feedback row derived</w:t>
      </w:r>
      <w:r>
        <w:rPr>
          <w:rFonts w:ascii="Consolas" w:cs="Consolas" w:eastAsia="Consolas" w:hAnsi="Consolas"/>
          <w:sz w:val="18"/>
          <w:szCs w:val="18"/>
        </w:rPr>
        <w:br/>
        <w:t xml:space="preserve">            -&gt; Engine 8 recomputes per-engine confirm-rate</w:t>
      </w:r>
      <w:r>
        <w:rPr>
          <w:rFonts w:ascii="Consolas" w:cs="Consolas" w:eastAsia="Consolas" w:hAnsi="Consolas"/>
          <w:sz w:val="18"/>
          <w:szCs w:val="18"/>
        </w:rPr>
        <w:br/>
        <w:t xml:space="preserve">              -&gt; Engine 7 weights nudged (capped +/-10% per cycle)</w:t>
      </w:r>
      <w:r>
        <w:rPr>
          <w:rFonts w:ascii="Consolas" w:cs="Consolas" w:eastAsia="Consolas" w:hAnsi="Consolas"/>
          <w:sz w:val="18"/>
          <w:szCs w:val="18"/>
        </w:rPr>
        <w:br/>
        <w:t xml:space="preserve">                -&gt; next pipeline run uses updated weights</w:t>
      </w:r>
    </w:p>
    <w:p>
      <w:pPr>
        <w:spacing w:after="120"/>
      </w:pPr>
      <w:r>
        <w:rPr>
          <w:b w:val="false"/>
          <w:bCs w:val="false"/>
          <w:i w:val="false"/>
          <w:iCs w:val="false"/>
        </w:rPr>
        <w:t xml:space="preserve">This closes the loop the master brief calls out explicitly: dismissals reduce a specific engine's influence over time, but no single batch of dismissals can swing the system past the cap, and a dismissal is never silently treated as proof of "not fraud" — it only ever adjusts a weight, never deletes or suppresses the underlying signal from the audit trail.</w:t>
      </w:r>
    </w:p>
    <w:p>
      <w:pPr>
        <w:pStyle w:val="Heading1"/>
        <w:pageBreakBefore/>
        <w:spacing w:after="200" w:before="200"/>
      </w:pPr>
      <w:r>
        <w:rPr>
          <w:b/>
          <w:bCs/>
          <w:color w:val="1F3864"/>
        </w:rPr>
        <w:t xml:space="preserve">Part L — Security Architecture</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400"/>
        <w:gridCol w:w="7100"/>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Control</w:t>
            </w:r>
          </w:p>
        </w:tc>
        <w:tc>
          <w:tcPr>
            <w:tcW w:type="dxa" w:w="7100"/>
            <w:shd w:fill="1F3864" w:val="clear"/>
            <w:tcMar>
              <w:top w:type="dxa" w:w="60"/>
              <w:left w:type="dxa" w:w="100"/>
              <w:bottom w:type="dxa" w:w="60"/>
              <w:right w:type="dxa" w:w="100"/>
            </w:tcMar>
            <w:vAlign w:val="center"/>
          </w:tcPr>
          <w:p>
            <w:r>
              <w:rPr>
                <w:b/>
                <w:bCs/>
                <w:color w:val="FFFFFF"/>
                <w:sz w:val="19"/>
                <w:szCs w:val="19"/>
              </w:rPr>
              <w:t xml:space="preserve">Approach</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Authentication</w:t>
            </w:r>
          </w:p>
        </w:tc>
        <w:tc>
          <w:tcPr>
            <w:tcW w:type="dxa" w:w="7100"/>
            <w:tcMar>
              <w:top w:type="dxa" w:w="60"/>
              <w:left w:type="dxa" w:w="100"/>
              <w:bottom w:type="dxa" w:w="60"/>
              <w:right w:type="dxa" w:w="100"/>
            </w:tcMar>
            <w:vAlign w:val="center"/>
          </w:tcPr>
          <w:p>
            <w:r>
              <w:rPr>
                <w:b w:val="false"/>
                <w:bCs w:val="false"/>
                <w:color w:val="000000"/>
                <w:sz w:val="19"/>
                <w:szCs w:val="19"/>
              </w:rPr>
              <w:t xml:space="preserve">JWT-based session tokens.</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RBAC</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Role + jurisdiction_scope on every user; backend middleware filters every query, not just the UI.</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Encryption</w:t>
            </w:r>
          </w:p>
        </w:tc>
        <w:tc>
          <w:tcPr>
            <w:tcW w:type="dxa" w:w="7100"/>
            <w:tcMar>
              <w:top w:type="dxa" w:w="60"/>
              <w:left w:type="dxa" w:w="100"/>
              <w:bottom w:type="dxa" w:w="60"/>
              <w:right w:type="dxa" w:w="100"/>
            </w:tcMar>
            <w:vAlign w:val="center"/>
          </w:tcPr>
          <w:p>
            <w:r>
              <w:rPr>
                <w:b w:val="false"/>
                <w:bCs w:val="false"/>
                <w:color w:val="000000"/>
                <w:sz w:val="19"/>
                <w:szCs w:val="19"/>
              </w:rPr>
              <w:t xml:space="preserve">TLS in transit; at-rest encryption on the PostgreSQL volume.</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Secure APIs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Pydantic request validation on every endpoint; no raw SQL string interpolation (ORM-parameterized queries only).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Audit logs</w:t>
            </w:r>
          </w:p>
        </w:tc>
        <w:tc>
          <w:tcPr>
            <w:tcW w:type="dxa" w:w="7100"/>
            <w:tcMar>
              <w:top w:type="dxa" w:w="60"/>
              <w:left w:type="dxa" w:w="100"/>
              <w:bottom w:type="dxa" w:w="60"/>
              <w:right w:type="dxa" w:w="100"/>
            </w:tcMar>
            <w:vAlign w:val="center"/>
          </w:tcPr>
          <w:p>
            <w:r>
              <w:rPr>
                <w:b w:val="false"/>
                <w:bCs w:val="false"/>
                <w:color w:val="000000"/>
                <w:sz w:val="19"/>
                <w:szCs w:val="19"/>
              </w:rPr>
              <w:t xml:space="preserve">audit_log table records every view of sensitive work detail and every investigation decision, with user, action, entity, timestamp.</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Model access controls</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Only the pipeline service account can trigger re-fit/re-score; API keys never exposed to the frontend.</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Input validation</w:t>
            </w:r>
          </w:p>
        </w:tc>
        <w:tc>
          <w:tcPr>
            <w:tcW w:type="dxa" w:w="7100"/>
            <w:tcMar>
              <w:top w:type="dxa" w:w="60"/>
              <w:left w:type="dxa" w:w="100"/>
              <w:bottom w:type="dxa" w:w="60"/>
              <w:right w:type="dxa" w:w="100"/>
            </w:tcMar>
            <w:vAlign w:val="center"/>
          </w:tcPr>
          <w:p>
            <w:r>
              <w:rPr>
                <w:b w:val="false"/>
                <w:bCs w:val="false"/>
                <w:color w:val="000000"/>
                <w:sz w:val="19"/>
                <w:szCs w:val="19"/>
              </w:rPr>
              <w:t xml:space="preserve">Pydantic schemas + the Schema/Value Validator pass at ingestion.</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Rate limiting</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Basic per-IP/per-token throttle at the API gateway layer.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Secrets management</w:t>
            </w:r>
          </w:p>
        </w:tc>
        <w:tc>
          <w:tcPr>
            <w:tcW w:type="dxa" w:w="7100"/>
            <w:tcMar>
              <w:top w:type="dxa" w:w="60"/>
              <w:left w:type="dxa" w:w="100"/>
              <w:bottom w:type="dxa" w:w="60"/>
              <w:right w:type="dxa" w:w="100"/>
            </w:tcMar>
            <w:vAlign w:val="center"/>
          </w:tcPr>
          <w:p>
            <w:r>
              <w:rPr>
                <w:b w:val="false"/>
                <w:bCs w:val="false"/>
                <w:color w:val="000000"/>
                <w:sz w:val="19"/>
                <w:szCs w:val="19"/>
              </w:rPr>
              <w:t xml:space="preserve">.env for the demo; a proper secrets manager (e.g. Vault) is a Future Scope item for real government deployment.</w:t>
            </w:r>
          </w:p>
        </w:tc>
      </w:tr>
      <w:tr>
        <w:tc>
          <w:tcPr>
            <w:tcW w:type="dxa" w:w="2400"/>
            <w:shd w:fill="F2F2F2" w:val="clear"/>
            <w:tcMar>
              <w:top w:type="dxa" w:w="60"/>
              <w:left w:type="dxa" w:w="100"/>
              <w:bottom w:type="dxa" w:w="60"/>
              <w:right w:type="dxa" w:w="100"/>
            </w:tcMar>
            <w:vAlign w:val="center"/>
          </w:tcPr>
          <w:p>
            <w:r>
              <w:rPr>
                <w:b w:val="false"/>
                <w:bCs w:val="false"/>
                <w:color w:val="000000"/>
                <w:sz w:val="19"/>
                <w:szCs w:val="19"/>
              </w:rPr>
              <w:t xml:space="preserve">Data minimization</w:t>
            </w:r>
          </w:p>
        </w:tc>
        <w:tc>
          <w:tcPr>
            <w:tcW w:type="dxa" w:w="7100"/>
            <w:shd w:fill="F2F2F2" w:val="clear"/>
            <w:tcMar>
              <w:top w:type="dxa" w:w="60"/>
              <w:left w:type="dxa" w:w="100"/>
              <w:bottom w:type="dxa" w:w="60"/>
              <w:right w:type="dxa" w:w="100"/>
            </w:tcMar>
            <w:vAlign w:val="center"/>
          </w:tcPr>
          <w:p>
            <w:r>
              <w:rPr>
                <w:b w:val="false"/>
                <w:bCs w:val="false"/>
                <w:color w:val="000000"/>
                <w:sz w:val="19"/>
                <w:szCs w:val="19"/>
              </w:rPr>
              <w:t xml:space="preserve">No citizen PII is collected beyond what the public MPLADS portal itself already publishes.</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On blockchain</w:t>
            </w:r>
          </w:p>
        </w:tc>
        <w:tc>
          <w:tcPr>
            <w:tcW w:type="dxa" w:w="7100"/>
            <w:tcMar>
              <w:top w:type="dxa" w:w="60"/>
              <w:left w:type="dxa" w:w="100"/>
              <w:bottom w:type="dxa" w:w="60"/>
              <w:right w:type="dxa" w:w="100"/>
            </w:tcMar>
            <w:vAlign w:val="center"/>
          </w:tcPr>
          <w:p>
            <w:r>
              <w:rPr>
                <w:b w:val="false"/>
                <w:bCs w:val="false"/>
                <w:color w:val="000000"/>
                <w:sz w:val="19"/>
                <w:szCs w:val="19"/>
              </w:rPr>
              <w:t xml:space="preserve">Explicitly not used. Tamper-evidence for record history is handled by the audit_log table and the Version-History Integrity Monitor's content hashing (Grand Finale) — the same property blockchain would provide, without its latency, complexity, or governance overhead.</w:t>
            </w:r>
          </w:p>
        </w:tc>
      </w:tr>
    </w:tbl>
    <w:p>
      <w:pPr>
        <w:pStyle w:val="Heading1"/>
        <w:pageBreakBefore/>
        <w:spacing w:after="200" w:before="200"/>
      </w:pPr>
      <w:r>
        <w:rPr>
          <w:b/>
          <w:bCs/>
          <w:color w:val="1F3864"/>
        </w:rPr>
        <w:t xml:space="preserve">Part M — Implementation Roadmap</w:t>
      </w:r>
    </w:p>
    <w:tbl>
      <w:tblPr>
        <w:tblW w:type="dxa" w:w="9400"/>
        <w:tblBorders>
          <w:top w:val="single" w:color="999999" w:sz="2"/>
          <w:left w:val="single" w:color="999999" w:sz="2"/>
          <w:bottom w:val="single" w:color="999999" w:sz="2"/>
          <w:right w:val="single" w:color="999999" w:sz="2"/>
          <w:insideH w:val="single" w:color="CCCCCC" w:sz="2"/>
          <w:insideV w:val="single" w:color="CCCCCC" w:sz="2"/>
        </w:tblBorders>
      </w:tblPr>
      <w:tblGrid>
        <w:gridCol w:w="1600"/>
        <w:gridCol w:w="2200"/>
        <w:gridCol w:w="3100"/>
        <w:gridCol w:w="2500"/>
      </w:tblGrid>
      <w:tr>
        <w:trPr>
          <w:tblHeader/>
        </w:trPr>
        <w:tc>
          <w:tcPr>
            <w:tcW w:type="dxa" w:w="1600"/>
            <w:shd w:fill="1F3864" w:val="clear"/>
            <w:tcMar>
              <w:top w:type="dxa" w:w="60"/>
              <w:left w:type="dxa" w:w="100"/>
              <w:bottom w:type="dxa" w:w="60"/>
              <w:right w:type="dxa" w:w="100"/>
            </w:tcMar>
            <w:vAlign w:val="center"/>
          </w:tcPr>
          <w:p>
            <w:r>
              <w:rPr>
                <w:b/>
                <w:bCs/>
                <w:color w:val="FFFFFF"/>
                <w:sz w:val="19"/>
                <w:szCs w:val="19"/>
              </w:rPr>
              <w:t xml:space="preserve">Stage</w:t>
            </w:r>
          </w:p>
        </w:tc>
        <w:tc>
          <w:tcPr>
            <w:tcW w:type="dxa" w:w="2200"/>
            <w:shd w:fill="1F3864" w:val="clear"/>
            <w:tcMar>
              <w:top w:type="dxa" w:w="60"/>
              <w:left w:type="dxa" w:w="100"/>
              <w:bottom w:type="dxa" w:w="60"/>
              <w:right w:type="dxa" w:w="100"/>
            </w:tcMar>
            <w:vAlign w:val="center"/>
          </w:tcPr>
          <w:p>
            <w:r>
              <w:rPr>
                <w:b/>
                <w:bCs/>
                <w:color w:val="FFFFFF"/>
                <w:sz w:val="19"/>
                <w:szCs w:val="19"/>
              </w:rPr>
              <w:t xml:space="preserve">Deliverable</w:t>
            </w:r>
          </w:p>
        </w:tc>
        <w:tc>
          <w:tcPr>
            <w:tcW w:type="dxa" w:w="3100"/>
            <w:shd w:fill="1F3864" w:val="clear"/>
            <w:tcMar>
              <w:top w:type="dxa" w:w="60"/>
              <w:left w:type="dxa" w:w="100"/>
              <w:bottom w:type="dxa" w:w="60"/>
              <w:right w:type="dxa" w:w="100"/>
            </w:tcMar>
            <w:vAlign w:val="center"/>
          </w:tcPr>
          <w:p>
            <w:r>
              <w:rPr>
                <w:b/>
                <w:bCs/>
                <w:color w:val="FFFFFF"/>
                <w:sz w:val="19"/>
                <w:szCs w:val="19"/>
              </w:rPr>
              <w:t xml:space="preserve">Depends on</w:t>
            </w:r>
          </w:p>
        </w:tc>
        <w:tc>
          <w:tcPr>
            <w:tcW w:type="dxa" w:w="2500"/>
            <w:shd w:fill="1F3864" w:val="clear"/>
            <w:tcMar>
              <w:top w:type="dxa" w:w="60"/>
              <w:left w:type="dxa" w:w="100"/>
              <w:bottom w:type="dxa" w:w="60"/>
              <w:right w:type="dxa" w:w="100"/>
            </w:tcMar>
            <w:vAlign w:val="center"/>
          </w:tcPr>
          <w:p>
            <w:r>
              <w:rPr>
                <w:b/>
                <w:bCs/>
                <w:color w:val="FFFFFF"/>
                <w:sz w:val="19"/>
                <w:szCs w:val="19"/>
              </w:rPr>
              <w:t xml:space="preserve">Tier</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1 — Data</w:t>
            </w:r>
          </w:p>
        </w:tc>
        <w:tc>
          <w:tcPr>
            <w:tcW w:type="dxa" w:w="2200"/>
            <w:tcMar>
              <w:top w:type="dxa" w:w="60"/>
              <w:left w:type="dxa" w:w="100"/>
              <w:bottom w:type="dxa" w:w="60"/>
              <w:right w:type="dxa" w:w="100"/>
            </w:tcMar>
            <w:vAlign w:val="center"/>
          </w:tcPr>
          <w:p>
            <w:r>
              <w:rPr>
                <w:b w:val="false"/>
                <w:bCs w:val="false"/>
                <w:color w:val="000000"/>
                <w:sz w:val="19"/>
                <w:szCs w:val="19"/>
              </w:rPr>
              <w:t xml:space="preserve">Finish full-India scrape; run consolidate.py; add Schema/Value Validator pass</w:t>
            </w:r>
          </w:p>
        </w:tc>
        <w:tc>
          <w:tcPr>
            <w:tcW w:type="dxa" w:w="3100"/>
            <w:tcMar>
              <w:top w:type="dxa" w:w="60"/>
              <w:left w:type="dxa" w:w="100"/>
              <w:bottom w:type="dxa" w:w="60"/>
              <w:right w:type="dxa" w:w="100"/>
            </w:tcMar>
            <w:vAlign w:val="center"/>
          </w:tcPr>
          <w:p>
            <w:r>
              <w:rPr>
                <w:b w:val="false"/>
                <w:bCs w:val="false"/>
                <w:color w:val="000000"/>
                <w:sz w:val="19"/>
                <w:szCs w:val="19"/>
              </w:rPr>
              <w:t xml:space="preserve">mplads_india_downloader.py (in progress)</w:t>
            </w:r>
          </w:p>
        </w:tc>
        <w:tc>
          <w:tcPr>
            <w:tcW w:type="dxa" w:w="2500"/>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shd w:fill="F2F2F2" w:val="clear"/>
            <w:tcMar>
              <w:top w:type="dxa" w:w="60"/>
              <w:left w:type="dxa" w:w="100"/>
              <w:bottom w:type="dxa" w:w="60"/>
              <w:right w:type="dxa" w:w="100"/>
            </w:tcMar>
            <w:vAlign w:val="center"/>
          </w:tcPr>
          <w:p>
            <w:r>
              <w:rPr>
                <w:b w:val="false"/>
                <w:bCs w:val="false"/>
                <w:color w:val="000000"/>
                <w:sz w:val="19"/>
                <w:szCs w:val="19"/>
              </w:rPr>
              <w:t xml:space="preserve">2 — Detection Engines</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Engines 1–6 implemented and unit-tested against the consolidated parquet</w:t>
            </w:r>
          </w:p>
        </w:tc>
        <w:tc>
          <w:tcPr>
            <w:tcW w:type="dxa" w:w="3100"/>
            <w:shd w:fill="F2F2F2" w:val="clear"/>
            <w:tcMar>
              <w:top w:type="dxa" w:w="60"/>
              <w:left w:type="dxa" w:w="100"/>
              <w:bottom w:type="dxa" w:w="60"/>
              <w:right w:type="dxa" w:w="100"/>
            </w:tcMar>
            <w:vAlign w:val="center"/>
          </w:tcPr>
          <w:p>
            <w:r>
              <w:rPr>
                <w:b w:val="false"/>
                <w:bCs w:val="false"/>
                <w:color w:val="000000"/>
                <w:sz w:val="19"/>
                <w:szCs w:val="19"/>
              </w:rPr>
              <w:t xml:space="preserve">Stage 1</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3 — Backend</w:t>
            </w:r>
          </w:p>
        </w:tc>
        <w:tc>
          <w:tcPr>
            <w:tcW w:type="dxa" w:w="2200"/>
            <w:tcMar>
              <w:top w:type="dxa" w:w="60"/>
              <w:left w:type="dxa" w:w="100"/>
              <w:bottom w:type="dxa" w:w="60"/>
              <w:right w:type="dxa" w:w="100"/>
            </w:tcMar>
            <w:vAlign w:val="center"/>
          </w:tcPr>
          <w:p>
            <w:r>
              <w:rPr>
                <w:b w:val="false"/>
                <w:bCs w:val="false"/>
                <w:color w:val="000000"/>
                <w:sz w:val="19"/>
                <w:szCs w:val="19"/>
              </w:rPr>
              <w:t xml:space="preserve">FastAPI models/schemas/services; risk_signal + risk_score + alert tables populated by a pipeline run</w:t>
            </w:r>
          </w:p>
        </w:tc>
        <w:tc>
          <w:tcPr>
            <w:tcW w:type="dxa" w:w="3100"/>
            <w:tcMar>
              <w:top w:type="dxa" w:w="60"/>
              <w:left w:type="dxa" w:w="100"/>
              <w:bottom w:type="dxa" w:w="60"/>
              <w:right w:type="dxa" w:w="100"/>
            </w:tcMar>
            <w:vAlign w:val="center"/>
          </w:tcPr>
          <w:p>
            <w:r>
              <w:rPr>
                <w:b w:val="false"/>
                <w:bCs w:val="false"/>
                <w:color w:val="000000"/>
                <w:sz w:val="19"/>
                <w:szCs w:val="19"/>
              </w:rPr>
              <w:t xml:space="preserve">Stage 2</w:t>
            </w:r>
          </w:p>
        </w:tc>
        <w:tc>
          <w:tcPr>
            <w:tcW w:type="dxa" w:w="2500"/>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shd w:fill="F2F2F2" w:val="clear"/>
            <w:tcMar>
              <w:top w:type="dxa" w:w="60"/>
              <w:left w:type="dxa" w:w="100"/>
              <w:bottom w:type="dxa" w:w="60"/>
              <w:right w:type="dxa" w:w="100"/>
            </w:tcMar>
            <w:vAlign w:val="center"/>
          </w:tcPr>
          <w:p>
            <w:r>
              <w:rPr>
                <w:b w:val="false"/>
                <w:bCs w:val="false"/>
                <w:color w:val="000000"/>
                <w:sz w:val="19"/>
                <w:szCs w:val="19"/>
              </w:rPr>
              <w:t xml:space="preserve">4 — Frontend</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Dashboard Home, Work Detail with risk card, Alerts Queue</w:t>
            </w:r>
          </w:p>
        </w:tc>
        <w:tc>
          <w:tcPr>
            <w:tcW w:type="dxa" w:w="3100"/>
            <w:shd w:fill="F2F2F2" w:val="clear"/>
            <w:tcMar>
              <w:top w:type="dxa" w:w="60"/>
              <w:left w:type="dxa" w:w="100"/>
              <w:bottom w:type="dxa" w:w="60"/>
              <w:right w:type="dxa" w:w="100"/>
            </w:tcMar>
            <w:vAlign w:val="center"/>
          </w:tcPr>
          <w:p>
            <w:r>
              <w:rPr>
                <w:b w:val="false"/>
                <w:bCs w:val="false"/>
                <w:color w:val="000000"/>
                <w:sz w:val="19"/>
                <w:szCs w:val="19"/>
              </w:rPr>
              <w:t xml:space="preserve">Stage 3 (API contract)</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5 — Integration</w:t>
            </w:r>
          </w:p>
        </w:tc>
        <w:tc>
          <w:tcPr>
            <w:tcW w:type="dxa" w:w="2200"/>
            <w:tcMar>
              <w:top w:type="dxa" w:w="60"/>
              <w:left w:type="dxa" w:w="100"/>
              <w:bottom w:type="dxa" w:w="60"/>
              <w:right w:type="dxa" w:w="100"/>
            </w:tcMar>
            <w:vAlign w:val="center"/>
          </w:tcPr>
          <w:p>
            <w:r>
              <w:rPr>
                <w:b w:val="false"/>
                <w:bCs w:val="false"/>
                <w:color w:val="000000"/>
                <w:sz w:val="19"/>
                <w:szCs w:val="19"/>
              </w:rPr>
              <w:t xml:space="preserve">Engine 7 fusion wired end-to-end; Engine 8 calibration loop with seeded demo decisions</w:t>
            </w:r>
          </w:p>
        </w:tc>
        <w:tc>
          <w:tcPr>
            <w:tcW w:type="dxa" w:w="3100"/>
            <w:tcMar>
              <w:top w:type="dxa" w:w="60"/>
              <w:left w:type="dxa" w:w="100"/>
              <w:bottom w:type="dxa" w:w="60"/>
              <w:right w:type="dxa" w:w="100"/>
            </w:tcMar>
            <w:vAlign w:val="center"/>
          </w:tcPr>
          <w:p>
            <w:r>
              <w:rPr>
                <w:b w:val="false"/>
                <w:bCs w:val="false"/>
                <w:color w:val="000000"/>
                <w:sz w:val="19"/>
                <w:szCs w:val="19"/>
              </w:rPr>
              <w:t xml:space="preserve">Stages 2–4</w:t>
            </w:r>
          </w:p>
        </w:tc>
        <w:tc>
          <w:tcPr>
            <w:tcW w:type="dxa" w:w="2500"/>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shd w:fill="F2F2F2" w:val="clear"/>
            <w:tcMar>
              <w:top w:type="dxa" w:w="60"/>
              <w:left w:type="dxa" w:w="100"/>
              <w:bottom w:type="dxa" w:w="60"/>
              <w:right w:type="dxa" w:w="100"/>
            </w:tcMar>
            <w:vAlign w:val="center"/>
          </w:tcPr>
          <w:p>
            <w:r>
              <w:rPr>
                <w:b w:val="false"/>
                <w:bCs w:val="false"/>
                <w:color w:val="000000"/>
                <w:sz w:val="19"/>
                <w:szCs w:val="19"/>
              </w:rPr>
              <w:t xml:space="preserve">6 — Explainability</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Risk-card evidence tabs, SHAP contribution display, rule-citation strings</w:t>
            </w:r>
          </w:p>
        </w:tc>
        <w:tc>
          <w:tcPr>
            <w:tcW w:type="dxa" w:w="3100"/>
            <w:shd w:fill="F2F2F2" w:val="clear"/>
            <w:tcMar>
              <w:top w:type="dxa" w:w="60"/>
              <w:left w:type="dxa" w:w="100"/>
              <w:bottom w:type="dxa" w:w="60"/>
              <w:right w:type="dxa" w:w="100"/>
            </w:tcMar>
            <w:vAlign w:val="center"/>
          </w:tcPr>
          <w:p>
            <w:r>
              <w:rPr>
                <w:b w:val="false"/>
                <w:bCs w:val="false"/>
                <w:color w:val="000000"/>
                <w:sz w:val="19"/>
                <w:szCs w:val="19"/>
              </w:rPr>
              <w:t xml:space="preserve">Stage 5</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7 — Demo</w:t>
            </w:r>
          </w:p>
        </w:tc>
        <w:tc>
          <w:tcPr>
            <w:tcW w:type="dxa" w:w="2200"/>
            <w:tcMar>
              <w:top w:type="dxa" w:w="60"/>
              <w:left w:type="dxa" w:w="100"/>
              <w:bottom w:type="dxa" w:w="60"/>
              <w:right w:type="dxa" w:w="100"/>
            </w:tcMar>
            <w:vAlign w:val="center"/>
          </w:tcPr>
          <w:p>
            <w:r>
              <w:rPr>
                <w:b w:val="false"/>
                <w:bCs w:val="false"/>
                <w:color w:val="000000"/>
                <w:sz w:val="19"/>
                <w:szCs w:val="19"/>
              </w:rPr>
              <w:t xml:space="preserve">Scripted walkthrough (Part Q), seeded fraud-injection cases for the live "how do we know it works" moment</w:t>
            </w:r>
          </w:p>
        </w:tc>
        <w:tc>
          <w:tcPr>
            <w:tcW w:type="dxa" w:w="3100"/>
            <w:tcMar>
              <w:top w:type="dxa" w:w="60"/>
              <w:left w:type="dxa" w:w="100"/>
              <w:bottom w:type="dxa" w:w="60"/>
              <w:right w:type="dxa" w:w="100"/>
            </w:tcMar>
            <w:vAlign w:val="center"/>
          </w:tcPr>
          <w:p>
            <w:r>
              <w:rPr>
                <w:b w:val="false"/>
                <w:bCs w:val="false"/>
                <w:color w:val="000000"/>
                <w:sz w:val="19"/>
                <w:szCs w:val="19"/>
              </w:rPr>
              <w:t xml:space="preserve">Stage 6</w:t>
            </w:r>
          </w:p>
        </w:tc>
        <w:tc>
          <w:tcPr>
            <w:tcW w:type="dxa" w:w="2500"/>
            <w:tcMar>
              <w:top w:type="dxa" w:w="60"/>
              <w:left w:type="dxa" w:w="100"/>
              <w:bottom w:type="dxa" w:w="60"/>
              <w:right w:type="dxa" w:w="100"/>
            </w:tcMar>
            <w:vAlign w:val="center"/>
          </w:tcPr>
          <w:p>
            <w:r>
              <w:rPr>
                <w:b w:val="false"/>
                <w:bCs w:val="false"/>
                <w:color w:val="000000"/>
                <w:sz w:val="19"/>
                <w:szCs w:val="19"/>
              </w:rPr>
              <w:t xml:space="preserve">Internal MVP</w:t>
            </w:r>
          </w:p>
        </w:tc>
      </w:tr>
      <w:tr>
        <w:tc>
          <w:tcPr>
            <w:tcW w:type="dxa" w:w="1600"/>
            <w:shd w:fill="F2F2F2" w:val="clear"/>
            <w:tcMar>
              <w:top w:type="dxa" w:w="60"/>
              <w:left w:type="dxa" w:w="100"/>
              <w:bottom w:type="dxa" w:w="60"/>
              <w:right w:type="dxa" w:w="100"/>
            </w:tcMar>
            <w:vAlign w:val="center"/>
          </w:tcPr>
          <w:p>
            <w:r>
              <w:rPr>
                <w:b w:val="false"/>
                <w:bCs w:val="false"/>
                <w:color w:val="000000"/>
                <w:sz w:val="19"/>
                <w:szCs w:val="19"/>
              </w:rPr>
              <w:t xml:space="preserve">Post-qualification</w:t>
            </w:r>
          </w:p>
        </w:tc>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Illegal state-transition, Version-History Monitor, Source-Freshness Monitor, JanNirikshan, SatelliteScout, DINOv2/CLIP</w:t>
            </w:r>
          </w:p>
        </w:tc>
        <w:tc>
          <w:tcPr>
            <w:tcW w:type="dxa" w:w="3100"/>
            <w:shd w:fill="F2F2F2" w:val="clear"/>
            <w:tcMar>
              <w:top w:type="dxa" w:w="60"/>
              <w:left w:type="dxa" w:w="100"/>
              <w:bottom w:type="dxa" w:w="60"/>
              <w:right w:type="dxa" w:w="100"/>
            </w:tcMar>
            <w:vAlign w:val="center"/>
          </w:tcPr>
          <w:p>
            <w:r>
              <w:rPr>
                <w:b w:val="false"/>
                <w:bCs w:val="false"/>
                <w:color w:val="000000"/>
                <w:sz w:val="19"/>
                <w:szCs w:val="19"/>
              </w:rPr>
              <w:t xml:space="preserve">Internal MVP complete</w:t>
            </w:r>
          </w:p>
        </w:tc>
        <w:tc>
          <w:tcPr>
            <w:tcW w:type="dxa" w:w="2500"/>
            <w:shd w:fill="F2F2F2" w:val="clear"/>
            <w:tcMar>
              <w:top w:type="dxa" w:w="60"/>
              <w:left w:type="dxa" w:w="100"/>
              <w:bottom w:type="dxa" w:w="60"/>
              <w:right w:type="dxa" w:w="100"/>
            </w:tcMar>
            <w:vAlign w:val="center"/>
          </w:tcPr>
          <w:p>
            <w:r>
              <w:rPr>
                <w:b w:val="false"/>
                <w:bCs w:val="false"/>
                <w:color w:val="000000"/>
                <w:sz w:val="19"/>
                <w:szCs w:val="19"/>
              </w:rPr>
              <w:t xml:space="preserve">Grand Finale</w:t>
            </w:r>
          </w:p>
        </w:tc>
      </w:tr>
      <w:tr>
        <w:tc>
          <w:tcPr>
            <w:tcW w:type="dxa" w:w="1600"/>
            <w:tcMar>
              <w:top w:type="dxa" w:w="60"/>
              <w:left w:type="dxa" w:w="100"/>
              <w:bottom w:type="dxa" w:w="60"/>
              <w:right w:type="dxa" w:w="100"/>
            </w:tcMar>
            <w:vAlign w:val="center"/>
          </w:tcPr>
          <w:p>
            <w:r>
              <w:rPr>
                <w:b w:val="false"/>
                <w:bCs w:val="false"/>
                <w:color w:val="000000"/>
                <w:sz w:val="19"/>
                <w:szCs w:val="19"/>
              </w:rPr>
              <w:t xml:space="preserve">Government deployment</w:t>
            </w:r>
          </w:p>
        </w:tc>
        <w:tc>
          <w:tcPr>
            <w:tcW w:type="dxa" w:w="2200"/>
            <w:tcMar>
              <w:top w:type="dxa" w:w="60"/>
              <w:left w:type="dxa" w:w="100"/>
              <w:bottom w:type="dxa" w:w="60"/>
              <w:right w:type="dxa" w:w="100"/>
            </w:tcMar>
            <w:vAlign w:val="center"/>
          </w:tcPr>
          <w:p>
            <w:r>
              <w:rPr>
                <w:b w:val="false"/>
                <w:bCs w:val="false"/>
                <w:color w:val="000000"/>
                <w:sz w:val="19"/>
                <w:szCs w:val="19"/>
              </w:rPr>
              <w:t xml:space="preserve">PFMS/eSAKSHI integration, PostGIS, Neo4j vendor graphs, DocShield, GeM mirror</w:t>
            </w:r>
          </w:p>
        </w:tc>
        <w:tc>
          <w:tcPr>
            <w:tcW w:type="dxa" w:w="3100"/>
            <w:tcMar>
              <w:top w:type="dxa" w:w="60"/>
              <w:left w:type="dxa" w:w="100"/>
              <w:bottom w:type="dxa" w:w="60"/>
              <w:right w:type="dxa" w:w="100"/>
            </w:tcMar>
            <w:vAlign w:val="center"/>
          </w:tcPr>
          <w:p>
            <w:r>
              <w:rPr>
                <w:b w:val="false"/>
                <w:bCs w:val="false"/>
                <w:color w:val="000000"/>
                <w:sz w:val="19"/>
                <w:szCs w:val="19"/>
              </w:rPr>
              <w:t xml:space="preserve">Real government data-sharing access</w:t>
            </w:r>
          </w:p>
        </w:tc>
        <w:tc>
          <w:tcPr>
            <w:tcW w:type="dxa" w:w="2500"/>
            <w:tcMar>
              <w:top w:type="dxa" w:w="60"/>
              <w:left w:type="dxa" w:w="100"/>
              <w:bottom w:type="dxa" w:w="60"/>
              <w:right w:type="dxa" w:w="100"/>
            </w:tcMar>
            <w:vAlign w:val="center"/>
          </w:tcPr>
          <w:p>
            <w:r>
              <w:rPr>
                <w:b w:val="false"/>
                <w:bCs w:val="false"/>
                <w:color w:val="000000"/>
                <w:sz w:val="19"/>
                <w:szCs w:val="19"/>
              </w:rPr>
              <w:t xml:space="preserve">Production</w:t>
            </w:r>
          </w:p>
        </w:tc>
      </w:tr>
    </w:tbl>
    <w:p>
      <w:pPr>
        <w:pStyle w:val="Heading1"/>
        <w:pageBreakBefore/>
        <w:spacing w:after="200" w:before="200"/>
      </w:pPr>
      <w:r>
        <w:rPr>
          <w:b/>
          <w:bCs/>
          <w:color w:val="1F3864"/>
        </w:rPr>
        <w:t xml:space="preserve">Part N — Team Division</w:t>
      </w:r>
    </w:p>
    <w:tbl>
      <w:tblPr>
        <w:tblW w:type="dxa" w:w="8800"/>
        <w:tblBorders>
          <w:top w:val="single" w:color="999999" w:sz="2"/>
          <w:left w:val="single" w:color="999999" w:sz="2"/>
          <w:bottom w:val="single" w:color="999999" w:sz="2"/>
          <w:right w:val="single" w:color="999999" w:sz="2"/>
          <w:insideH w:val="single" w:color="CCCCCC" w:sz="2"/>
          <w:insideV w:val="single" w:color="CCCCCC" w:sz="2"/>
        </w:tblBorders>
      </w:tblPr>
      <w:tblGrid>
        <w:gridCol w:w="2200"/>
        <w:gridCol w:w="3300"/>
        <w:gridCol w:w="3300"/>
      </w:tblGrid>
      <w:tr>
        <w:trPr>
          <w:tblHeader/>
        </w:trPr>
        <w:tc>
          <w:tcPr>
            <w:tcW w:type="dxa" w:w="2200"/>
            <w:shd w:fill="1F3864" w:val="clear"/>
            <w:tcMar>
              <w:top w:type="dxa" w:w="60"/>
              <w:left w:type="dxa" w:w="100"/>
              <w:bottom w:type="dxa" w:w="60"/>
              <w:right w:type="dxa" w:w="100"/>
            </w:tcMar>
            <w:vAlign w:val="center"/>
          </w:tcPr>
          <w:p>
            <w:r>
              <w:rPr>
                <w:b/>
                <w:bCs/>
                <w:color w:val="FFFFFF"/>
                <w:sz w:val="19"/>
                <w:szCs w:val="19"/>
              </w:rPr>
              <w:t xml:space="preserve">Track</w:t>
            </w:r>
          </w:p>
        </w:tc>
        <w:tc>
          <w:tcPr>
            <w:tcW w:type="dxa" w:w="3300"/>
            <w:shd w:fill="1F3864" w:val="clear"/>
            <w:tcMar>
              <w:top w:type="dxa" w:w="60"/>
              <w:left w:type="dxa" w:w="100"/>
              <w:bottom w:type="dxa" w:w="60"/>
              <w:right w:type="dxa" w:w="100"/>
            </w:tcMar>
            <w:vAlign w:val="center"/>
          </w:tcPr>
          <w:p>
            <w:r>
              <w:rPr>
                <w:b/>
                <w:bCs/>
                <w:color w:val="FFFFFF"/>
                <w:sz w:val="19"/>
                <w:szCs w:val="19"/>
              </w:rPr>
              <w:t xml:space="preserve">Owns</w:t>
            </w:r>
          </w:p>
        </w:tc>
        <w:tc>
          <w:tcPr>
            <w:tcW w:type="dxa" w:w="3300"/>
            <w:shd w:fill="1F3864" w:val="clear"/>
            <w:tcMar>
              <w:top w:type="dxa" w:w="60"/>
              <w:left w:type="dxa" w:w="100"/>
              <w:bottom w:type="dxa" w:w="60"/>
              <w:right w:type="dxa" w:w="100"/>
            </w:tcMar>
            <w:vAlign w:val="center"/>
          </w:tcPr>
          <w:p>
            <w:r>
              <w:rPr>
                <w:b/>
                <w:bCs/>
                <w:color w:val="FFFFFF"/>
                <w:sz w:val="19"/>
                <w:szCs w:val="19"/>
              </w:rPr>
              <w:t xml:space="preserve">Can run in parallel with</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AI/ML — Detection</w:t>
            </w:r>
          </w:p>
        </w:tc>
        <w:tc>
          <w:tcPr>
            <w:tcW w:type="dxa" w:w="3300"/>
            <w:tcMar>
              <w:top w:type="dxa" w:w="60"/>
              <w:left w:type="dxa" w:w="100"/>
              <w:bottom w:type="dxa" w:w="60"/>
              <w:right w:type="dxa" w:w="100"/>
            </w:tcMar>
            <w:vAlign w:val="center"/>
          </w:tcPr>
          <w:p>
            <w:r>
              <w:rPr>
                <w:b w:val="false"/>
                <w:bCs w:val="false"/>
                <w:color w:val="000000"/>
                <w:sz w:val="19"/>
                <w:szCs w:val="19"/>
              </w:rPr>
              <w:t xml:space="preserve">Engines 1, 2, 5 (rules + anomaly), fraud-injection harness</w:t>
            </w:r>
          </w:p>
        </w:tc>
        <w:tc>
          <w:tcPr>
            <w:tcW w:type="dxa" w:w="3300"/>
            <w:tcMar>
              <w:top w:type="dxa" w:w="60"/>
              <w:left w:type="dxa" w:w="100"/>
              <w:bottom w:type="dxa" w:w="60"/>
              <w:right w:type="dxa" w:w="100"/>
            </w:tcMar>
            <w:vAlign w:val="center"/>
          </w:tcPr>
          <w:p>
            <w:r>
              <w:rPr>
                <w:b w:val="false"/>
                <w:bCs w:val="false"/>
                <w:color w:val="000000"/>
                <w:sz w:val="19"/>
                <w:szCs w:val="19"/>
              </w:rPr>
              <w:t xml:space="preserve">Frontend (Stage 4) once API contracts from Stage 3 are stubbed</w:t>
            </w:r>
          </w:p>
        </w:tc>
      </w:tr>
      <w:tr>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AI/ML — NLP/CV</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Engines 3, 4, 6, Part I fusion logic</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Backend (Stage 3) once feature schemas from Stage 2 are fixed</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Backend</w:t>
            </w:r>
          </w:p>
        </w:tc>
        <w:tc>
          <w:tcPr>
            <w:tcW w:type="dxa" w:w="3300"/>
            <w:tcMar>
              <w:top w:type="dxa" w:w="60"/>
              <w:left w:type="dxa" w:w="100"/>
              <w:bottom w:type="dxa" w:w="60"/>
              <w:right w:type="dxa" w:w="100"/>
            </w:tcMar>
            <w:vAlign w:val="center"/>
          </w:tcPr>
          <w:p>
            <w:r>
              <w:rPr>
                <w:b w:val="false"/>
                <w:bCs w:val="false"/>
                <w:color w:val="000000"/>
                <w:sz w:val="19"/>
                <w:szCs w:val="19"/>
              </w:rPr>
              <w:t xml:space="preserve">FastAPI app, DB schema (Part D), API (Part E), RBAC</w:t>
            </w:r>
          </w:p>
        </w:tc>
        <w:tc>
          <w:tcPr>
            <w:tcW w:type="dxa" w:w="3300"/>
            <w:tcMar>
              <w:top w:type="dxa" w:w="60"/>
              <w:left w:type="dxa" w:w="100"/>
              <w:bottom w:type="dxa" w:w="60"/>
              <w:right w:type="dxa" w:w="100"/>
            </w:tcMar>
            <w:vAlign w:val="center"/>
          </w:tcPr>
          <w:p>
            <w:r>
              <w:rPr>
                <w:b w:val="false"/>
                <w:bCs w:val="false"/>
                <w:color w:val="000000"/>
                <w:sz w:val="19"/>
                <w:szCs w:val="19"/>
              </w:rPr>
              <w:t xml:space="preserve">ML tracks, once the risk_signal schema is agreed</w:t>
            </w:r>
          </w:p>
        </w:tc>
      </w:tr>
      <w:tr>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Frontend</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Dashboard, risk card, alerts queue, analytics charts</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Backend, against a mocked API until Stage 3 lands</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Data Engineering</w:t>
            </w:r>
          </w:p>
        </w:tc>
        <w:tc>
          <w:tcPr>
            <w:tcW w:type="dxa" w:w="3300"/>
            <w:tcMar>
              <w:top w:type="dxa" w:w="60"/>
              <w:left w:type="dxa" w:w="100"/>
              <w:bottom w:type="dxa" w:w="60"/>
              <w:right w:type="dxa" w:w="100"/>
            </w:tcMar>
            <w:vAlign w:val="center"/>
          </w:tcPr>
          <w:p>
            <w:r>
              <w:rPr>
                <w:b w:val="false"/>
                <w:bCs w:val="false"/>
                <w:color w:val="000000"/>
                <w:sz w:val="19"/>
                <w:szCs w:val="19"/>
              </w:rPr>
              <w:t xml:space="preserve">Scrape completion, consolidate.py extensions, Schema Validator</w:t>
            </w:r>
          </w:p>
        </w:tc>
        <w:tc>
          <w:tcPr>
            <w:tcW w:type="dxa" w:w="3300"/>
            <w:tcMar>
              <w:top w:type="dxa" w:w="60"/>
              <w:left w:type="dxa" w:w="100"/>
              <w:bottom w:type="dxa" w:w="60"/>
              <w:right w:type="dxa" w:w="100"/>
            </w:tcMar>
            <w:vAlign w:val="center"/>
          </w:tcPr>
          <w:p>
            <w:r>
              <w:rPr>
                <w:b w:val="false"/>
                <w:bCs w:val="false"/>
                <w:color w:val="000000"/>
                <w:sz w:val="19"/>
                <w:szCs w:val="19"/>
              </w:rPr>
              <w:t xml:space="preserve">Everything — this gates Stage 2, so front-load it</w:t>
            </w:r>
          </w:p>
        </w:tc>
      </w:tr>
      <w:tr>
        <w:tc>
          <w:tcPr>
            <w:tcW w:type="dxa" w:w="2200"/>
            <w:shd w:fill="F2F2F2" w:val="clear"/>
            <w:tcMar>
              <w:top w:type="dxa" w:w="60"/>
              <w:left w:type="dxa" w:w="100"/>
              <w:bottom w:type="dxa" w:w="60"/>
              <w:right w:type="dxa" w:w="100"/>
            </w:tcMar>
            <w:vAlign w:val="center"/>
          </w:tcPr>
          <w:p>
            <w:r>
              <w:rPr>
                <w:b w:val="false"/>
                <w:bCs w:val="false"/>
                <w:color w:val="000000"/>
                <w:sz w:val="19"/>
                <w:szCs w:val="19"/>
              </w:rPr>
              <w:t xml:space="preserve">Docs / Research</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CAG case sourcing (ongoing), guideline citations for PolicyCode rules</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All tracks, continuous</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Presentation / Demo</w:t>
            </w:r>
          </w:p>
        </w:tc>
        <w:tc>
          <w:tcPr>
            <w:tcW w:type="dxa" w:w="3300"/>
            <w:tcMar>
              <w:top w:type="dxa" w:w="60"/>
              <w:left w:type="dxa" w:w="100"/>
              <w:bottom w:type="dxa" w:w="60"/>
              <w:right w:type="dxa" w:w="100"/>
            </w:tcMar>
            <w:vAlign w:val="center"/>
          </w:tcPr>
          <w:p>
            <w:r>
              <w:rPr>
                <w:b w:val="false"/>
                <w:bCs w:val="false"/>
                <w:color w:val="000000"/>
                <w:sz w:val="19"/>
                <w:szCs w:val="19"/>
              </w:rPr>
              <w:t xml:space="preserve">Part Q narrative, live demo script, slide deck</w:t>
            </w:r>
          </w:p>
        </w:tc>
        <w:tc>
          <w:tcPr>
            <w:tcW w:type="dxa" w:w="3300"/>
            <w:tcMar>
              <w:top w:type="dxa" w:w="60"/>
              <w:left w:type="dxa" w:w="100"/>
              <w:bottom w:type="dxa" w:w="60"/>
              <w:right w:type="dxa" w:w="100"/>
            </w:tcMar>
            <w:vAlign w:val="center"/>
          </w:tcPr>
          <w:p>
            <w:r>
              <w:rPr>
                <w:b w:val="false"/>
                <w:bCs w:val="false"/>
                <w:color w:val="000000"/>
                <w:sz w:val="19"/>
                <w:szCs w:val="19"/>
              </w:rPr>
              <w:t xml:space="preserve">Ramps up in the final week, pulls from every track's output</w:t>
            </w:r>
          </w:p>
        </w:tc>
      </w:tr>
    </w:tbl>
    <w:p>
      <w:pPr>
        <w:pStyle w:val="Heading1"/>
        <w:pageBreakBefore/>
        <w:spacing w:after="200" w:before="200"/>
      </w:pPr>
      <w:r>
        <w:rPr>
          <w:b/>
          <w:bCs/>
          <w:color w:val="1F3864"/>
        </w:rPr>
        <w:t xml:space="preserve">Part O — Demo Data Strategy</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2000"/>
        <w:gridCol w:w="7500"/>
      </w:tblGrid>
      <w:tr>
        <w:trPr>
          <w:tblHeader/>
        </w:trPr>
        <w:tc>
          <w:tcPr>
            <w:tcW w:type="dxa" w:w="2000"/>
            <w:shd w:fill="1F3864" w:val="clear"/>
            <w:tcMar>
              <w:top w:type="dxa" w:w="60"/>
              <w:left w:type="dxa" w:w="100"/>
              <w:bottom w:type="dxa" w:w="60"/>
              <w:right w:type="dxa" w:w="100"/>
            </w:tcMar>
            <w:vAlign w:val="center"/>
          </w:tcPr>
          <w:p>
            <w:r>
              <w:rPr>
                <w:b/>
                <w:bCs/>
                <w:color w:val="FFFFFF"/>
                <w:sz w:val="19"/>
                <w:szCs w:val="19"/>
              </w:rPr>
              <w:t xml:space="preserve">Category</w:t>
            </w:r>
          </w:p>
        </w:tc>
        <w:tc>
          <w:tcPr>
            <w:tcW w:type="dxa" w:w="7500"/>
            <w:shd w:fill="1F3864" w:val="clear"/>
            <w:tcMar>
              <w:top w:type="dxa" w:w="60"/>
              <w:left w:type="dxa" w:w="100"/>
              <w:bottom w:type="dxa" w:w="60"/>
              <w:right w:type="dxa" w:w="100"/>
            </w:tcMar>
            <w:vAlign w:val="center"/>
          </w:tcPr>
          <w:p>
            <w:r>
              <w:rPr>
                <w:b/>
                <w:bCs/>
                <w:color w:val="FFFFFF"/>
                <w:sz w:val="19"/>
                <w:szCs w:val="19"/>
              </w:rPr>
              <w:t xml:space="preserve">What it is, in this project</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Real Public Data</w:t>
            </w:r>
          </w:p>
        </w:tc>
        <w:tc>
          <w:tcPr>
            <w:tcW w:type="dxa" w:w="7500"/>
            <w:tcMar>
              <w:top w:type="dxa" w:w="60"/>
              <w:left w:type="dxa" w:w="100"/>
              <w:bottom w:type="dxa" w:w="60"/>
              <w:right w:type="dxa" w:w="100"/>
            </w:tcMar>
            <w:vAlign w:val="center"/>
          </w:tcPr>
          <w:p>
            <w:r>
              <w:rPr>
                <w:b w:val="false"/>
                <w:bCs w:val="false"/>
                <w:color w:val="000000"/>
                <w:sz w:val="19"/>
                <w:szCs w:val="19"/>
              </w:rPr>
              <w:t xml:space="preserve">Every WORK_CATEGORY, ACTUAL_AMOUNT, WORK_DESCRIPTION, IDA_NAME, MP_NAME, and completed-work photo — scraped live from mplads.mospi.gov.in.</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Derived Data</w:t>
            </w:r>
          </w:p>
        </w:tc>
        <w:tc>
          <w:tcPr>
            <w:tcW w:type="dxa" w:w="7500"/>
            <w:shd w:fill="F2F2F2" w:val="clear"/>
            <w:tcMar>
              <w:top w:type="dxa" w:w="60"/>
              <w:left w:type="dxa" w:w="100"/>
              <w:bottom w:type="dxa" w:w="60"/>
              <w:right w:type="dxa" w:w="100"/>
            </w:tcMar>
            <w:vAlign w:val="center"/>
          </w:tcPr>
          <w:p>
            <w:r>
              <w:rPr>
                <w:b w:val="false"/>
                <w:bCs w:val="false"/>
                <w:color w:val="000000"/>
                <w:sz w:val="19"/>
                <w:szCs w:val="19"/>
              </w:rPr>
              <w:t xml:space="preserve">duration_days, days_to_fy_end, category_state_key, cost-per-unit z-scores, risk_score, all rule flags — computed from the real fields above, not fabricated.</w:t>
            </w:r>
          </w:p>
        </w:tc>
      </w:tr>
      <w:tr>
        <w:tc>
          <w:tcPr>
            <w:tcW w:type="dxa" w:w="2000"/>
            <w:tcMar>
              <w:top w:type="dxa" w:w="60"/>
              <w:left w:type="dxa" w:w="100"/>
              <w:bottom w:type="dxa" w:w="60"/>
              <w:right w:type="dxa" w:w="100"/>
            </w:tcMar>
            <w:vAlign w:val="center"/>
          </w:tcPr>
          <w:p>
            <w:r>
              <w:rPr>
                <w:b w:val="false"/>
                <w:bCs w:val="false"/>
                <w:color w:val="000000"/>
                <w:sz w:val="19"/>
                <w:szCs w:val="19"/>
              </w:rPr>
              <w:t xml:space="preserve">Joined External Data</w:t>
            </w:r>
          </w:p>
        </w:tc>
        <w:tc>
          <w:tcPr>
            <w:tcW w:type="dxa" w:w="7500"/>
            <w:tcMar>
              <w:top w:type="dxa" w:w="60"/>
              <w:left w:type="dxa" w:w="100"/>
              <w:bottom w:type="dxa" w:w="60"/>
              <w:right w:type="dxa" w:w="100"/>
            </w:tcMar>
            <w:vAlign w:val="center"/>
          </w:tcPr>
          <w:p>
            <w:r>
              <w:rPr>
                <w:b w:val="false"/>
                <w:bCs w:val="false"/>
                <w:color w:val="000000"/>
                <w:sz w:val="19"/>
                <w:szCs w:val="19"/>
              </w:rPr>
              <w:t xml:space="preserve">Grand Finale only: MP tenure-end dates (public parliamentary records) for the Outgoing-MP Closure Tracker; PWD Schedule-of-Rates for absolute cost baselines.</w:t>
            </w:r>
          </w:p>
        </w:tc>
      </w:tr>
      <w:tr>
        <w:tc>
          <w:tcPr>
            <w:tcW w:type="dxa" w:w="2000"/>
            <w:shd w:fill="F2F2F2" w:val="clear"/>
            <w:tcMar>
              <w:top w:type="dxa" w:w="60"/>
              <w:left w:type="dxa" w:w="100"/>
              <w:bottom w:type="dxa" w:w="60"/>
              <w:right w:type="dxa" w:w="100"/>
            </w:tcMar>
            <w:vAlign w:val="center"/>
          </w:tcPr>
          <w:p>
            <w:r>
              <w:rPr>
                <w:b w:val="false"/>
                <w:bCs w:val="false"/>
                <w:color w:val="000000"/>
                <w:sz w:val="19"/>
                <w:szCs w:val="19"/>
              </w:rPr>
              <w:t xml:space="preserve">Synthetic Demonstration Data</w:t>
            </w:r>
          </w:p>
        </w:tc>
        <w:tc>
          <w:tcPr>
            <w:tcW w:type="dxa" w:w="7500"/>
            <w:shd w:fill="F2F2F2" w:val="clear"/>
            <w:tcMar>
              <w:top w:type="dxa" w:w="60"/>
              <w:left w:type="dxa" w:w="100"/>
              <w:bottom w:type="dxa" w:w="60"/>
              <w:right w:type="dxa" w:w="100"/>
            </w:tcMar>
            <w:vAlign w:val="center"/>
          </w:tcPr>
          <w:p>
            <w:r>
              <w:rPr>
                <w:b w:val="false"/>
                <w:bCs w:val="false"/>
                <w:color w:val="000000"/>
                <w:sz w:val="19"/>
                <w:szCs w:val="19"/>
              </w:rPr>
              <w:t xml:space="preserve">fraud_injection_case rows only — cloned/modified real rows shaped like documented CAG patterns, explicitly tagged is_synthetic and isolated to an evaluation schema/copy. Never mixed into the live dashboard's default view; the demo exposes them only behind an explicit "Show validation cases" toggle, clearly labelled as synthetic on screen.</w:t>
            </w:r>
          </w:p>
        </w:tc>
      </w:tr>
    </w:tbl>
    <w:p>
      <w:pPr>
        <w:pStyle w:val="Heading1"/>
        <w:pageBreakBefore/>
        <w:spacing w:after="200" w:before="200"/>
      </w:pPr>
      <w:r>
        <w:rPr>
          <w:b/>
          <w:bCs/>
          <w:color w:val="1F3864"/>
        </w:rPr>
        <w:t xml:space="preserve">Part P — Evaluation Framework</w:t>
      </w:r>
    </w:p>
    <w:tbl>
      <w:tblPr>
        <w:tblW w:type="dxa" w:w="9400"/>
        <w:tblBorders>
          <w:top w:val="single" w:color="999999" w:sz="2"/>
          <w:left w:val="single" w:color="999999" w:sz="2"/>
          <w:bottom w:val="single" w:color="999999" w:sz="2"/>
          <w:right w:val="single" w:color="999999" w:sz="2"/>
          <w:insideH w:val="single" w:color="CCCCCC" w:sz="2"/>
          <w:insideV w:val="single" w:color="CCCCCC" w:sz="2"/>
        </w:tblBorders>
      </w:tblPr>
      <w:tblGrid>
        <w:gridCol w:w="2600"/>
        <w:gridCol w:w="3300"/>
        <w:gridCol w:w="3500"/>
      </w:tblGrid>
      <w:tr>
        <w:trPr>
          <w:tblHeader/>
        </w:trPr>
        <w:tc>
          <w:tcPr>
            <w:tcW w:type="dxa" w:w="2600"/>
            <w:shd w:fill="1F3864" w:val="clear"/>
            <w:tcMar>
              <w:top w:type="dxa" w:w="60"/>
              <w:left w:type="dxa" w:w="100"/>
              <w:bottom w:type="dxa" w:w="60"/>
              <w:right w:type="dxa" w:w="100"/>
            </w:tcMar>
            <w:vAlign w:val="center"/>
          </w:tcPr>
          <w:p>
            <w:r>
              <w:rPr>
                <w:b/>
                <w:bCs/>
                <w:color w:val="FFFFFF"/>
                <w:sz w:val="19"/>
                <w:szCs w:val="19"/>
              </w:rPr>
              <w:t xml:space="preserve">Engine</w:t>
            </w:r>
          </w:p>
        </w:tc>
        <w:tc>
          <w:tcPr>
            <w:tcW w:type="dxa" w:w="3300"/>
            <w:shd w:fill="1F3864" w:val="clear"/>
            <w:tcMar>
              <w:top w:type="dxa" w:w="60"/>
              <w:left w:type="dxa" w:w="100"/>
              <w:bottom w:type="dxa" w:w="60"/>
              <w:right w:type="dxa" w:w="100"/>
            </w:tcMar>
            <w:vAlign w:val="center"/>
          </w:tcPr>
          <w:p>
            <w:r>
              <w:rPr>
                <w:b/>
                <w:bCs/>
                <w:color w:val="FFFFFF"/>
                <w:sz w:val="19"/>
                <w:szCs w:val="19"/>
              </w:rPr>
              <w:t xml:space="preserve">Metric</w:t>
            </w:r>
          </w:p>
        </w:tc>
        <w:tc>
          <w:tcPr>
            <w:tcW w:type="dxa" w:w="3500"/>
            <w:shd w:fill="1F3864" w:val="clear"/>
            <w:tcMar>
              <w:top w:type="dxa" w:w="60"/>
              <w:left w:type="dxa" w:w="100"/>
              <w:bottom w:type="dxa" w:w="60"/>
              <w:right w:type="dxa" w:w="100"/>
            </w:tcMar>
            <w:vAlign w:val="center"/>
          </w:tcPr>
          <w:p>
            <w:r>
              <w:rPr>
                <w:b/>
                <w:bCs/>
                <w:color w:val="FFFFFF"/>
                <w:sz w:val="19"/>
                <w:szCs w:val="19"/>
              </w:rPr>
              <w:t xml:space="preserve">Why it matters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Isolation Forest + injection harness</w:t>
            </w:r>
          </w:p>
        </w:tc>
        <w:tc>
          <w:tcPr>
            <w:tcW w:type="dxa" w:w="3300"/>
            <w:tcMar>
              <w:top w:type="dxa" w:w="60"/>
              <w:left w:type="dxa" w:w="100"/>
              <w:bottom w:type="dxa" w:w="60"/>
              <w:right w:type="dxa" w:w="100"/>
            </w:tcMar>
            <w:vAlign w:val="center"/>
          </w:tcPr>
          <w:p>
            <w:r>
              <w:rPr>
                <w:b w:val="false"/>
                <w:bCs w:val="false"/>
                <w:color w:val="000000"/>
                <w:sz w:val="19"/>
                <w:szCs w:val="19"/>
              </w:rPr>
              <w:t xml:space="preserve">Precision@K, Recall on synthetic CAG-shaped cases</w:t>
            </w:r>
          </w:p>
        </w:tc>
        <w:tc>
          <w:tcPr>
            <w:tcW w:type="dxa" w:w="3500"/>
            <w:tcMar>
              <w:top w:type="dxa" w:w="60"/>
              <w:left w:type="dxa" w:w="100"/>
              <w:bottom w:type="dxa" w:w="60"/>
              <w:right w:type="dxa" w:w="100"/>
            </w:tcMar>
            <w:vAlign w:val="center"/>
          </w:tcPr>
          <w:p>
            <w:r>
              <w:rPr>
                <w:b w:val="false"/>
                <w:bCs w:val="false"/>
                <w:color w:val="000000"/>
                <w:sz w:val="19"/>
                <w:szCs w:val="19"/>
              </w:rPr>
              <w:t xml:space="preserve">The honest, label-free answer to "does the anomaly model actually work."</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Photo-Reuse (pHash+SIFT)</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Precision on synthetic reuse cases + manual spot-check</w:t>
            </w:r>
          </w:p>
        </w:tc>
        <w:tc>
          <w:tcPr>
            <w:tcW w:type="dxa" w:w="3500"/>
            <w:shd w:fill="F2F2F2" w:val="clear"/>
            <w:tcMar>
              <w:top w:type="dxa" w:w="60"/>
              <w:left w:type="dxa" w:w="100"/>
              <w:bottom w:type="dxa" w:w="60"/>
              <w:right w:type="dxa" w:w="100"/>
            </w:tcMar>
            <w:vAlign w:val="center"/>
          </w:tcPr>
          <w:p>
            <w:r>
              <w:rPr>
                <w:b w:val="false"/>
                <w:bCs w:val="false"/>
                <w:color w:val="000000"/>
                <w:sz w:val="19"/>
                <w:szCs w:val="19"/>
              </w:rPr>
              <w:t xml:space="preserve">False accusations of photo fraud are reputationally costly — precision matters more than recall here.</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NLP Duplicate-Work</w:t>
            </w:r>
          </w:p>
        </w:tc>
        <w:tc>
          <w:tcPr>
            <w:tcW w:type="dxa" w:w="3300"/>
            <w:tcMar>
              <w:top w:type="dxa" w:w="60"/>
              <w:left w:type="dxa" w:w="100"/>
              <w:bottom w:type="dxa" w:w="60"/>
              <w:right w:type="dxa" w:w="100"/>
            </w:tcMar>
            <w:vAlign w:val="center"/>
          </w:tcPr>
          <w:p>
            <w:r>
              <w:rPr>
                <w:b w:val="false"/>
                <w:bCs w:val="false"/>
                <w:color w:val="000000"/>
                <w:sz w:val="19"/>
                <w:szCs w:val="19"/>
              </w:rPr>
              <w:t xml:space="preserve">Recall on synthetic cross-year duplicate cases</w:t>
            </w:r>
          </w:p>
        </w:tc>
        <w:tc>
          <w:tcPr>
            <w:tcW w:type="dxa" w:w="3500"/>
            <w:tcMar>
              <w:top w:type="dxa" w:w="60"/>
              <w:left w:type="dxa" w:w="100"/>
              <w:bottom w:type="dxa" w:w="60"/>
              <w:right w:type="dxa" w:w="100"/>
            </w:tcMar>
            <w:vAlign w:val="center"/>
          </w:tcPr>
          <w:p>
            <w:r>
              <w:rPr>
                <w:b w:val="false"/>
                <w:bCs w:val="false"/>
                <w:color w:val="000000"/>
                <w:sz w:val="19"/>
                <w:szCs w:val="19"/>
              </w:rPr>
              <w:t xml:space="preserve">Missing a real duplicate claim is the costlier error than an extra review.</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Fund-Absorption Forecast</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MAE vs. actual year-end utilization</w:t>
            </w:r>
          </w:p>
        </w:tc>
        <w:tc>
          <w:tcPr>
            <w:tcW w:type="dxa" w:w="3500"/>
            <w:shd w:fill="F2F2F2" w:val="clear"/>
            <w:tcMar>
              <w:top w:type="dxa" w:w="60"/>
              <w:left w:type="dxa" w:w="100"/>
              <w:bottom w:type="dxa" w:w="60"/>
              <w:right w:type="dxa" w:w="100"/>
            </w:tcMar>
            <w:vAlign w:val="center"/>
          </w:tcPr>
          <w:p>
            <w:r>
              <w:rPr>
                <w:b w:val="false"/>
                <w:bCs w:val="false"/>
                <w:color w:val="000000"/>
                <w:sz w:val="19"/>
                <w:szCs w:val="19"/>
              </w:rPr>
              <w:t xml:space="preserve">Standard forecast-accuracy metric, reportable once a full fiscal year of data exists.</w:t>
            </w:r>
          </w:p>
        </w:tc>
      </w:tr>
      <w:tr>
        <w:tc>
          <w:tcPr>
            <w:tcW w:type="dxa" w:w="2600"/>
            <w:tcMar>
              <w:top w:type="dxa" w:w="60"/>
              <w:left w:type="dxa" w:w="100"/>
              <w:bottom w:type="dxa" w:w="60"/>
              <w:right w:type="dxa" w:w="100"/>
            </w:tcMar>
            <w:vAlign w:val="center"/>
          </w:tcPr>
          <w:p>
            <w:r>
              <w:rPr>
                <w:b w:val="false"/>
                <w:bCs w:val="false"/>
                <w:color w:val="000000"/>
                <w:sz w:val="19"/>
                <w:szCs w:val="19"/>
              </w:rPr>
              <w:t xml:space="preserve">Risk Fusion</w:t>
            </w:r>
          </w:p>
        </w:tc>
        <w:tc>
          <w:tcPr>
            <w:tcW w:type="dxa" w:w="3300"/>
            <w:tcMar>
              <w:top w:type="dxa" w:w="60"/>
              <w:left w:type="dxa" w:w="100"/>
              <w:bottom w:type="dxa" w:w="60"/>
              <w:right w:type="dxa" w:w="100"/>
            </w:tcMar>
            <w:vAlign w:val="center"/>
          </w:tcPr>
          <w:p>
            <w:r>
              <w:rPr>
                <w:b w:val="false"/>
                <w:bCs w:val="false"/>
                <w:color w:val="000000"/>
                <w:sz w:val="19"/>
                <w:szCs w:val="19"/>
              </w:rPr>
              <w:t xml:space="preserve">Precision@Top-K alerts, false-positive rate</w:t>
            </w:r>
          </w:p>
        </w:tc>
        <w:tc>
          <w:tcPr>
            <w:tcW w:type="dxa" w:w="3500"/>
            <w:tcMar>
              <w:top w:type="dxa" w:w="60"/>
              <w:left w:type="dxa" w:w="100"/>
              <w:bottom w:type="dxa" w:w="60"/>
              <w:right w:type="dxa" w:w="100"/>
            </w:tcMar>
            <w:vAlign w:val="center"/>
          </w:tcPr>
          <w:p>
            <w:r>
              <w:rPr>
                <w:b w:val="false"/>
                <w:bCs w:val="false"/>
                <w:color w:val="000000"/>
                <w:sz w:val="19"/>
                <w:szCs w:val="19"/>
              </w:rPr>
              <w:t xml:space="preserve">What determines whether officers keep trusting the queue.</w:t>
            </w:r>
          </w:p>
        </w:tc>
      </w:tr>
      <w:tr>
        <w:tc>
          <w:tcPr>
            <w:tcW w:type="dxa" w:w="2600"/>
            <w:shd w:fill="F2F2F2" w:val="clear"/>
            <w:tcMar>
              <w:top w:type="dxa" w:w="60"/>
              <w:left w:type="dxa" w:w="100"/>
              <w:bottom w:type="dxa" w:w="60"/>
              <w:right w:type="dxa" w:w="100"/>
            </w:tcMar>
            <w:vAlign w:val="center"/>
          </w:tcPr>
          <w:p>
            <w:r>
              <w:rPr>
                <w:b w:val="false"/>
                <w:bCs w:val="false"/>
                <w:color w:val="000000"/>
                <w:sz w:val="19"/>
                <w:szCs w:val="19"/>
              </w:rPr>
              <w:t xml:space="preserve">Human-Feedback Calibration</w:t>
            </w:r>
          </w:p>
        </w:tc>
        <w:tc>
          <w:tcPr>
            <w:tcW w:type="dxa" w:w="3300"/>
            <w:shd w:fill="F2F2F2" w:val="clear"/>
            <w:tcMar>
              <w:top w:type="dxa" w:w="60"/>
              <w:left w:type="dxa" w:w="100"/>
              <w:bottom w:type="dxa" w:w="60"/>
              <w:right w:type="dxa" w:w="100"/>
            </w:tcMar>
            <w:vAlign w:val="center"/>
          </w:tcPr>
          <w:p>
            <w:r>
              <w:rPr>
                <w:b w:val="false"/>
                <w:bCs w:val="false"/>
                <w:color w:val="000000"/>
                <w:sz w:val="19"/>
                <w:szCs w:val="19"/>
              </w:rPr>
              <w:t xml:space="preserve">Investigator dismiss-rate trend over time</w:t>
            </w:r>
          </w:p>
        </w:tc>
        <w:tc>
          <w:tcPr>
            <w:tcW w:type="dxa" w:w="3500"/>
            <w:shd w:fill="F2F2F2" w:val="clear"/>
            <w:tcMar>
              <w:top w:type="dxa" w:w="60"/>
              <w:left w:type="dxa" w:w="100"/>
              <w:bottom w:type="dxa" w:w="60"/>
              <w:right w:type="dxa" w:w="100"/>
            </w:tcMar>
            <w:vAlign w:val="center"/>
          </w:tcPr>
          <w:p>
            <w:r>
              <w:rPr>
                <w:b w:val="false"/>
                <w:bCs w:val="false"/>
                <w:color w:val="000000"/>
                <w:sz w:val="19"/>
                <w:szCs w:val="19"/>
              </w:rPr>
              <w:t xml:space="preserve">Direct evidence the system improves rather than statically flagging the same false positives forever.</w:t>
            </w:r>
          </w:p>
        </w:tc>
      </w:tr>
    </w:tbl>
    <w:p>
      <w:pPr>
        <w:pStyle w:val="Heading1"/>
        <w:pageBreakBefore/>
        <w:spacing w:after="200" w:before="200"/>
      </w:pPr>
      <w:r>
        <w:rPr>
          <w:b/>
          <w:bCs/>
          <w:color w:val="1F3864"/>
        </w:rPr>
        <w:t xml:space="preserve">Part Q — SIH Winning Narrative</w:t>
      </w:r>
    </w:p>
    <w:p>
      <w:pPr>
        <w:pStyle w:val="Heading3"/>
        <w:spacing w:after="80" w:before="180"/>
      </w:pPr>
      <w:r>
        <w:rPr>
          <w:b/>
          <w:bCs/>
        </w:rPr>
        <w:t xml:space="preserve">One-line product description</w:t>
      </w:r>
    </w:p>
    <w:p>
      <w:pPr>
        <w:spacing w:after="120"/>
      </w:pPr>
      <w:r>
        <w:rPr>
          <w:b w:val="false"/>
          <w:bCs w:val="false"/>
          <w:i w:val="false"/>
          <w:iCs w:val="false"/>
        </w:rPr>
        <w:t xml:space="preserve">An explainable, hybrid AI platform that turns MPLADS' own public data into risk-ranked, evidence-backed alerts for fraud, duplication, and stalled fund utilization.</w:t>
      </w:r>
    </w:p>
    <w:p>
      <w:pPr>
        <w:pStyle w:val="Heading3"/>
        <w:spacing w:after="80" w:before="180"/>
      </w:pPr>
      <w:r>
        <w:rPr>
          <w:b/>
          <w:bCs/>
        </w:rPr>
        <w:t xml:space="preserve">30-second pitch</w:t>
      </w:r>
    </w:p>
    <w:p>
      <w:pPr>
        <w:spacing w:after="120"/>
      </w:pPr>
      <w:r>
        <w:rPr>
          <w:b w:val="false"/>
          <w:bCs w:val="false"/>
          <w:i w:val="false"/>
          <w:iCs w:val="false"/>
        </w:rPr>
        <w:t xml:space="preserve">MPLADS moves thousands of crores through thousands of works every year, and today the only way to catch a phantom road or a reused photo is a manual audit, months after the money is gone. We built a platform that reads the same public MPLADS data every citizen can see, and automatically flags cost outliers, duplicate-work claims, and reused photographs — with a plain-language reason for every flag, not a black-box score.</w:t>
      </w:r>
    </w:p>
    <w:p>
      <w:pPr>
        <w:pStyle w:val="Heading3"/>
        <w:spacing w:after="80" w:before="180"/>
      </w:pPr>
      <w:r>
        <w:rPr>
          <w:b/>
          <w:bCs/>
        </w:rPr>
        <w:t xml:space="preserve">60-second technical pitch</w:t>
      </w:r>
    </w:p>
    <w:p>
      <w:pPr>
        <w:spacing w:after="120"/>
      </w:pPr>
      <w:r>
        <w:rPr>
          <w:b w:val="false"/>
          <w:bCs w:val="false"/>
          <w:i w:val="false"/>
          <w:iCs w:val="false"/>
        </w:rPr>
        <w:t xml:space="preserve">There are no fraud labels anywhere in MPLADS data, so we didn't build a classifier — we built a hybrid stack: guideline-encoded rules for citable compliance violations, an Isolation Forest for multivariate cost/timing outliers, perceptual hashing plus SIFT keypoint matching to catch reused completion photos, and cross-year sentence-embedding clustering to catch the same asset claimed twice. Every signal is fused into one risk score with a severity floor so one confirmed violation isn't diluted by noise. And because there's no ground truth, we validate the whole pipeline by injecting synthetic cases shaped exactly like real CAG-audit findings and measuring what we actually catch — which is also how the system keeps improving, through a human-feedback loop that recalibrates engine weights from officers' own confirm/dismiss decisions.</w:t>
      </w:r>
    </w:p>
    <w:p>
      <w:pPr>
        <w:pStyle w:val="Heading3"/>
        <w:spacing w:after="80" w:before="180"/>
      </w:pPr>
      <w:r>
        <w:rPr>
          <w:b/>
          <w:bCs/>
        </w:rPr>
        <w:t xml:space="preserve">Why existing monitoring is insufficient</w:t>
      </w:r>
    </w:p>
    <w:p>
      <w:pPr>
        <w:spacing w:after="120"/>
      </w:pPr>
      <w:r>
        <w:rPr>
          <w:b w:val="false"/>
          <w:bCs w:val="false"/>
          <w:i w:val="false"/>
          <w:iCs w:val="false"/>
        </w:rPr>
        <w:t xml:space="preserve">MPLADS' own public portal exposes the data but does no analysis on it; officer-level review is manual, un-scaled, and has no way to catch cross-year or cross-photo patterns a human reviewing one file at a time would never notice.</w:t>
      </w:r>
    </w:p>
    <w:p>
      <w:pPr>
        <w:pStyle w:val="Heading3"/>
        <w:spacing w:after="80" w:before="180"/>
      </w:pPr>
      <w:r>
        <w:rPr>
          <w:b/>
          <w:bCs/>
        </w:rPr>
        <w:t xml:space="preserve">Why our hybrid approach is better</w:t>
      </w:r>
    </w:p>
    <w:p>
      <w:pPr>
        <w:spacing w:after="120"/>
      </w:pPr>
      <w:r>
        <w:rPr>
          <w:b w:val="false"/>
          <w:bCs w:val="false"/>
          <w:i w:val="false"/>
          <w:iCs w:val="false"/>
        </w:rPr>
        <w:t xml:space="preserve">No single technique — rules alone, or ML alone — covers both the guideline-citable violations Ministry officials need and the subtle multivariate/visual patterns rules can't express. Combining them, with an explicit severity floor, gets both without pretending either one alone is sufficient.</w:t>
      </w:r>
    </w:p>
    <w:p>
      <w:pPr>
        <w:pStyle w:val="Heading3"/>
        <w:spacing w:after="80" w:before="180"/>
      </w:pPr>
      <w:r>
        <w:rPr>
          <w:b/>
          <w:bCs/>
        </w:rPr>
        <w:t xml:space="preserve">Real-world impact</w:t>
      </w:r>
    </w:p>
    <w:p>
      <w:pPr>
        <w:spacing w:after="120"/>
      </w:pPr>
      <w:r>
        <w:rPr>
          <w:b w:val="false"/>
          <w:bCs w:val="false"/>
          <w:i w:val="false"/>
          <w:iCs w:val="false"/>
        </w:rPr>
        <w:t xml:space="preserve">Turns a reactive, audit-cycle-later process into a running early-warning system for the exact fraud patterns CAG has already documented at scale — phantom works, fictitious measurement-book entries, duplicate claims, tender-avoidance clustering.</w:t>
      </w:r>
    </w:p>
    <w:p>
      <w:pPr>
        <w:pStyle w:val="Heading3"/>
        <w:spacing w:after="80" w:before="180"/>
      </w:pPr>
      <w:r>
        <w:rPr>
          <w:b/>
          <w:bCs/>
        </w:rPr>
        <w:t xml:space="preserve">Government scalability</w:t>
      </w:r>
    </w:p>
    <w:p>
      <w:pPr>
        <w:spacing w:after="120"/>
      </w:pPr>
      <w:r>
        <w:rPr>
          <w:b w:val="false"/>
          <w:bCs w:val="false"/>
          <w:i w:val="false"/>
          <w:iCs w:val="false"/>
        </w:rPr>
        <w:t xml:space="preserve">Built against the real national MPLADS data shape from day one (543 constituencies), with explicit, labelled integration points (PFMS, eSAKSHI, GeM) for the data we don't have yet rather than fabricated features pretending we do.</w:t>
      </w:r>
    </w:p>
    <w:p>
      <w:pPr>
        <w:pStyle w:val="Heading3"/>
        <w:spacing w:after="80" w:before="180"/>
      </w:pPr>
      <w:r>
        <w:rPr>
          <w:b/>
          <w:bCs/>
        </w:rPr>
        <w:t xml:space="preserve">What we can actually demonstrate</w:t>
      </w:r>
    </w:p>
    <w:p>
      <w:pPr>
        <w:spacing w:after="120"/>
      </w:pPr>
      <w:r>
        <w:rPr>
          <w:b w:val="false"/>
          <w:bCs w:val="false"/>
          <w:i w:val="false"/>
          <w:iCs w:val="false"/>
        </w:rPr>
        <w:t xml:space="preserve">A live risk-ranked dashboard over real scraped works and real photos; a confirmed photo-reuse or cross-year-duplicate pair surfaced from the real corpus; the fraud-injection harness run live, showing the model catch planted CAG-shaped cases in real time; an officer dismissing a flag and the calibration engine visibly adjusting a weight.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2026-09-07T11:09:32.556Z</dcterms:created>
  <dcterms:modified xsi:type="dcterms:W3CDTF">2026-09-07T11:09:32.557Z</dcterms:modified>
</cp:coreProperties>
</file>

<file path=docProps/custom.xml><?xml version="1.0" encoding="utf-8"?>
<Properties xmlns="http://schemas.openxmlformats.org/officeDocument/2006/custom-properties" xmlns:vt="http://schemas.openxmlformats.org/officeDocument/2006/docPropsVTypes"/>
</file>