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6AC80" w14:textId="77777777" w:rsidR="003F001A" w:rsidRPr="003F001A" w:rsidRDefault="003F001A" w:rsidP="003F001A">
      <w:pPr>
        <w:rPr>
          <w:b/>
          <w:bCs/>
        </w:rPr>
      </w:pPr>
      <w:r w:rsidRPr="003F001A">
        <w:rPr>
          <w:b/>
          <w:bCs/>
        </w:rPr>
        <w:t>MEMORANDUM</w:t>
      </w:r>
    </w:p>
    <w:p w14:paraId="759471E7" w14:textId="081162D6" w:rsidR="003F001A" w:rsidRPr="003F001A" w:rsidRDefault="003F001A" w:rsidP="003F001A">
      <w:r w:rsidRPr="003F001A">
        <w:rPr>
          <w:b/>
          <w:bCs/>
        </w:rPr>
        <w:t>TO:</w:t>
      </w:r>
      <w:r w:rsidRPr="003F001A">
        <w:t xml:space="preserve"> Senior Management (CEO, Head of Risk, Head of Trading) </w:t>
      </w:r>
      <w:r w:rsidRPr="003F001A">
        <w:rPr>
          <w:b/>
          <w:bCs/>
        </w:rPr>
        <w:t>FROM:</w:t>
      </w:r>
      <w:r w:rsidRPr="003F001A">
        <w:t xml:space="preserve"> </w:t>
      </w:r>
      <w:r w:rsidR="00D04C69">
        <w:t>Nihad Iskandarov</w:t>
      </w:r>
      <w:r w:rsidRPr="003F001A">
        <w:t xml:space="preserve">, Analyst, Risk Assessment Department </w:t>
      </w:r>
      <w:r w:rsidRPr="003F001A">
        <w:rPr>
          <w:b/>
          <w:bCs/>
        </w:rPr>
        <w:t>DATE:</w:t>
      </w:r>
      <w:r w:rsidRPr="003F001A">
        <w:t xml:space="preserve"> December </w:t>
      </w:r>
      <w:r w:rsidR="00D04C69">
        <w:t>4</w:t>
      </w:r>
      <w:r w:rsidRPr="003F001A">
        <w:t xml:space="preserve">, 2025 </w:t>
      </w:r>
      <w:r w:rsidRPr="003F001A">
        <w:rPr>
          <w:b/>
          <w:bCs/>
        </w:rPr>
        <w:t>SUBJECT:</w:t>
      </w:r>
      <w:r w:rsidRPr="003F001A">
        <w:t xml:space="preserve"> IMMEDIATE ACTION REQUIRED: Comprehensive Revision of Mortgage-Backed Securities Portfolio Valuation and Systemic Risk Assessment</w:t>
      </w:r>
    </w:p>
    <w:p w14:paraId="5AE2AF17" w14:textId="77777777" w:rsidR="003F001A" w:rsidRPr="003F001A" w:rsidRDefault="003F001A" w:rsidP="003F001A">
      <w:pPr>
        <w:rPr>
          <w:b/>
          <w:bCs/>
        </w:rPr>
      </w:pPr>
      <w:r w:rsidRPr="003F001A">
        <w:rPr>
          <w:b/>
          <w:bCs/>
        </w:rPr>
        <w:t>I. Executive Summary</w:t>
      </w:r>
    </w:p>
    <w:p w14:paraId="4563EF14" w14:textId="53629FF5" w:rsidR="003F001A" w:rsidRPr="003F001A" w:rsidRDefault="003F001A" w:rsidP="003F001A">
      <w:r w:rsidRPr="003F001A">
        <w:t xml:space="preserve">This memo is the result of an </w:t>
      </w:r>
      <w:r w:rsidR="00D04C69" w:rsidRPr="003F001A">
        <w:t>urgent</w:t>
      </w:r>
      <w:r w:rsidRPr="003F001A">
        <w:t xml:space="preserve"> overnight audit of our firm's Mortgage-Backed Securities (MBS) portfolio, initiated following the discovery of fundamental errors in our core risk valuation parameters. Our findings indicate a profound and immediate failure in the assumptions underwriting our risk modeling. The assets, previously valued at </w:t>
      </w:r>
      <w:r w:rsidRPr="003F001A">
        <w:rPr>
          <w:b/>
          <w:bCs/>
        </w:rPr>
        <w:t>$46.8 Billion</w:t>
      </w:r>
      <w:r w:rsidRPr="003F001A">
        <w:t xml:space="preserve">, are subject to a market event that has rendered a significant portion fundamentally toxic and unsaleable at any reasonable price. The corrected risk metric, the Tail Value-at-Risk (TVaR), now projects an </w:t>
      </w:r>
      <w:r w:rsidRPr="003F001A">
        <w:rPr>
          <w:b/>
          <w:bCs/>
        </w:rPr>
        <w:t xml:space="preserve">Expected Tail Loss of </w:t>
      </w:r>
      <m:oMath>
        <m:r>
          <m:rPr>
            <m:sty m:val="bi"/>
          </m:rPr>
          <w:rPr>
            <w:rFonts w:ascii="Cambria Math" w:hAnsi="Cambria Math"/>
          </w:rPr>
          <m:t>$</m:t>
        </m:r>
        <m:r>
          <w:rPr>
            <w:rFonts w:ascii="Cambria Math" w:hAnsi="Cambria Math"/>
          </w:rPr>
          <m:t>15.0</m:t>
        </m:r>
        <m:r>
          <m:rPr>
            <m:nor/>
          </m:rPr>
          <w:rPr>
            <w:rFonts w:ascii="Cambria Math" w:hAnsi="Cambria Math"/>
          </w:rPr>
          <m:t xml:space="preserve"> Billion</m:t>
        </m:r>
      </m:oMath>
      <w:r w:rsidRPr="003F001A">
        <w:t>.</w:t>
      </w:r>
    </w:p>
    <w:p w14:paraId="25D7B76C" w14:textId="623E8102" w:rsidR="003F001A" w:rsidRPr="003F001A" w:rsidRDefault="003F001A" w:rsidP="003F001A">
      <w:r w:rsidRPr="003F001A">
        <w:t>Since this projected loss exceeds our firm's total available operational capital of 5.0</w:t>
      </w:r>
      <w:r>
        <w:t xml:space="preserve">$ </w:t>
      </w:r>
      <w:r w:rsidRPr="003F001A">
        <w:t xml:space="preserve">Billion by a margin of three-to-one, we are facing </w:t>
      </w:r>
      <w:r w:rsidRPr="003F001A">
        <w:rPr>
          <w:b/>
          <w:bCs/>
        </w:rPr>
        <w:t>imminent insolvency</w:t>
      </w:r>
      <w:r w:rsidRPr="003F001A">
        <w:t xml:space="preserve"> and effective capital depletion. The only viable path to survival requires a rapid, comprehensive liquidation of the entire $50 Billion portfolio before the market fully comprehends the extent of the underlying crisis. This strategy is ethically challenging and financially punitive, but it is necessary to convert toxic, unmanageable risk into a quantifiable, survivable loss.</w:t>
      </w:r>
    </w:p>
    <w:p w14:paraId="5FA465F3" w14:textId="63B6C01E" w:rsidR="003F001A" w:rsidRPr="003F001A" w:rsidRDefault="003F001A" w:rsidP="003F001A">
      <w:pPr>
        <w:rPr>
          <w:b/>
          <w:bCs/>
        </w:rPr>
      </w:pPr>
      <w:r w:rsidRPr="003F001A">
        <w:rPr>
          <w:b/>
          <w:bCs/>
        </w:rPr>
        <w:t xml:space="preserve">II. Detailed Findings </w:t>
      </w:r>
    </w:p>
    <w:p w14:paraId="221CFEBF" w14:textId="77777777" w:rsidR="003F001A" w:rsidRPr="003F001A" w:rsidRDefault="003F001A" w:rsidP="003F001A">
      <w:pPr>
        <w:rPr>
          <w:b/>
          <w:bCs/>
        </w:rPr>
      </w:pPr>
      <w:r w:rsidRPr="003F001A">
        <w:rPr>
          <w:b/>
          <w:bCs/>
        </w:rPr>
        <w:t>A. The Nature of Our Assets: Mortgage-Backed Securities (Q1)</w:t>
      </w:r>
    </w:p>
    <w:p w14:paraId="4D65B675" w14:textId="77777777" w:rsidR="003F001A" w:rsidRPr="003F001A" w:rsidRDefault="003F001A" w:rsidP="003F001A">
      <w:r w:rsidRPr="003F001A">
        <w:t xml:space="preserve">Our firm holds a notional value of </w:t>
      </w:r>
      <w:r w:rsidRPr="003F001A">
        <w:rPr>
          <w:b/>
          <w:bCs/>
        </w:rPr>
        <w:t>$50 Billion</w:t>
      </w:r>
      <w:r w:rsidRPr="003F001A">
        <w:t xml:space="preserve"> in MBS, which are financial instruments created through the process of </w:t>
      </w:r>
      <w:r w:rsidRPr="003F001A">
        <w:rPr>
          <w:b/>
          <w:bCs/>
        </w:rPr>
        <w:t>securitization</w:t>
      </w:r>
      <w:r w:rsidRPr="003F001A">
        <w:t>. This process begins by pooling tens of thousands of individual home loans together, transforming illiquid debt into marketable securities.</w:t>
      </w:r>
    </w:p>
    <w:p w14:paraId="521594DF" w14:textId="77777777" w:rsidR="003F001A" w:rsidRPr="003F001A" w:rsidRDefault="003F001A" w:rsidP="003F001A">
      <w:pPr>
        <w:rPr>
          <w:b/>
          <w:bCs/>
        </w:rPr>
      </w:pPr>
      <w:r w:rsidRPr="003F001A">
        <w:rPr>
          <w:b/>
          <w:bCs/>
        </w:rPr>
        <w:t>1. Structuring (Tranching)</w:t>
      </w:r>
    </w:p>
    <w:p w14:paraId="20FD1E35" w14:textId="77777777" w:rsidR="003F001A" w:rsidRPr="003F001A" w:rsidRDefault="003F001A" w:rsidP="003F001A">
      <w:r w:rsidRPr="003F001A">
        <w:t xml:space="preserve">The pooled cash flows are then structured into different classes of securities, known as </w:t>
      </w:r>
      <w:r w:rsidRPr="003F001A">
        <w:rPr>
          <w:b/>
          <w:bCs/>
        </w:rPr>
        <w:t>tranches</w:t>
      </w:r>
      <w:r w:rsidRPr="003F001A">
        <w:t>, to appeal to different investor risk appetites. This system is designed like a waterfall: cash flows generated by the underlying mortgages flow down, paying the tranches in sequential order. We hold a significant mix across the risk spectrum:</w:t>
      </w:r>
    </w:p>
    <w:p w14:paraId="297CA003" w14:textId="77777777" w:rsidR="003F001A" w:rsidRPr="003F001A" w:rsidRDefault="003F001A" w:rsidP="003F001A">
      <w:pPr>
        <w:numPr>
          <w:ilvl w:val="0"/>
          <w:numId w:val="1"/>
        </w:numPr>
      </w:pPr>
      <w:r w:rsidRPr="003F001A">
        <w:rPr>
          <w:b/>
          <w:bCs/>
        </w:rPr>
        <w:t>Senior Tranches (AAA/AA Rated):</w:t>
      </w:r>
      <w:r w:rsidRPr="003F001A">
        <w:t xml:space="preserve"> These tranches have payment priority and absorb the first, small defaults but are protected from larger losses by the layers below. We hold </w:t>
      </w:r>
      <w:r w:rsidRPr="003F001A">
        <w:rPr>
          <w:b/>
          <w:bCs/>
        </w:rPr>
        <w:t>$35 Billion</w:t>
      </w:r>
      <w:r w:rsidRPr="003F001A">
        <w:t xml:space="preserve"> in this layer.</w:t>
      </w:r>
    </w:p>
    <w:p w14:paraId="2D1354E1" w14:textId="77777777" w:rsidR="003F001A" w:rsidRPr="003F001A" w:rsidRDefault="003F001A" w:rsidP="003F001A">
      <w:pPr>
        <w:numPr>
          <w:ilvl w:val="0"/>
          <w:numId w:val="1"/>
        </w:numPr>
      </w:pPr>
      <w:r w:rsidRPr="003F001A">
        <w:rPr>
          <w:b/>
          <w:bCs/>
        </w:rPr>
        <w:lastRenderedPageBreak/>
        <w:t>Mezzanine Tranches (A/BBB Rated):</w:t>
      </w:r>
      <w:r w:rsidRPr="003F001A">
        <w:t xml:space="preserve"> These absorb losses only after the Equity tranche is wiped out. They offer higher yield but significantly higher risk. We hold </w:t>
      </w:r>
      <w:r w:rsidRPr="003F001A">
        <w:rPr>
          <w:b/>
          <w:bCs/>
        </w:rPr>
        <w:t>$10 Billion</w:t>
      </w:r>
      <w:r w:rsidRPr="003F001A">
        <w:t xml:space="preserve"> in this layer.</w:t>
      </w:r>
    </w:p>
    <w:p w14:paraId="59AC01A5" w14:textId="3FA85F6B" w:rsidR="003F001A" w:rsidRPr="003F001A" w:rsidRDefault="003F001A" w:rsidP="003F001A">
      <w:pPr>
        <w:numPr>
          <w:ilvl w:val="0"/>
          <w:numId w:val="1"/>
        </w:numPr>
      </w:pPr>
      <w:r w:rsidRPr="003F001A">
        <w:rPr>
          <w:b/>
          <w:bCs/>
        </w:rPr>
        <w:t>Equity/Junior Tranches (Unrated/BB):</w:t>
      </w:r>
      <w:r w:rsidRPr="003F001A">
        <w:t xml:space="preserve"> These are the first to absorb losses and offer the highest yield </w:t>
      </w:r>
      <w:r w:rsidR="00D04C69" w:rsidRPr="003F001A">
        <w:t>potential but</w:t>
      </w:r>
      <w:r w:rsidRPr="003F001A">
        <w:t xml:space="preserve"> represent the highest risk. Our position in this layer is </w:t>
      </w:r>
      <w:r w:rsidRPr="003F001A">
        <w:rPr>
          <w:b/>
          <w:bCs/>
        </w:rPr>
        <w:t>$5 Billion</w:t>
      </w:r>
      <w:r w:rsidRPr="003F001A">
        <w:t>.</w:t>
      </w:r>
    </w:p>
    <w:p w14:paraId="36C802D7" w14:textId="77777777" w:rsidR="003F001A" w:rsidRPr="003F001A" w:rsidRDefault="003F001A" w:rsidP="003F001A">
      <w:pPr>
        <w:rPr>
          <w:b/>
          <w:bCs/>
        </w:rPr>
      </w:pPr>
      <w:r w:rsidRPr="003F001A">
        <w:rPr>
          <w:b/>
          <w:bCs/>
        </w:rPr>
        <w:t>2. Pricing and Initial Valuation</w:t>
      </w:r>
    </w:p>
    <w:p w14:paraId="3221BB29" w14:textId="77777777" w:rsidR="003F001A" w:rsidRPr="003F001A" w:rsidRDefault="003F001A" w:rsidP="003F001A">
      <w:r w:rsidRPr="003F001A">
        <w:t xml:space="preserve">The initial price and value of these tranches were based on two primary, measurable risks: </w:t>
      </w:r>
      <w:r w:rsidRPr="003F001A">
        <w:rPr>
          <w:b/>
          <w:bCs/>
        </w:rPr>
        <w:t>Default Risk</w:t>
      </w:r>
      <w:r w:rsidRPr="003F001A">
        <w:t xml:space="preserve"> and </w:t>
      </w:r>
      <w:r w:rsidRPr="003F001A">
        <w:rPr>
          <w:b/>
          <w:bCs/>
        </w:rPr>
        <w:t>Prepayment Risk</w:t>
      </w:r>
      <w:r w:rsidRPr="003F001A">
        <w:t xml:space="preserve">. Our valuation models were dependent on historical data suggesting low default rates and, crucially, the assumption that these risks were </w:t>
      </w:r>
      <w:r w:rsidRPr="003F001A">
        <w:rPr>
          <w:b/>
          <w:bCs/>
        </w:rPr>
        <w:t>uncorrelated</w:t>
      </w:r>
      <w:r w:rsidRPr="003F001A">
        <w:t xml:space="preserve"> across geographical pools. Our initial book value, reflective of this flawed modeling,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3"/>
        <w:gridCol w:w="1713"/>
        <w:gridCol w:w="1688"/>
        <w:gridCol w:w="2171"/>
      </w:tblGrid>
      <w:tr w:rsidR="003F001A" w:rsidRPr="003F001A" w14:paraId="4F6CF100" w14:textId="77777777">
        <w:trPr>
          <w:tblCellSpacing w:w="15" w:type="dxa"/>
        </w:trPr>
        <w:tc>
          <w:tcPr>
            <w:tcW w:w="0" w:type="auto"/>
            <w:vAlign w:val="center"/>
            <w:hideMark/>
          </w:tcPr>
          <w:p w14:paraId="5315F18E" w14:textId="77777777" w:rsidR="003F001A" w:rsidRPr="003F001A" w:rsidRDefault="003F001A" w:rsidP="003F001A">
            <w:pPr>
              <w:rPr>
                <w:b/>
                <w:bCs/>
              </w:rPr>
            </w:pPr>
            <w:r w:rsidRPr="003F001A">
              <w:rPr>
                <w:b/>
                <w:bCs/>
              </w:rPr>
              <w:t>Tranche</w:t>
            </w:r>
          </w:p>
        </w:tc>
        <w:tc>
          <w:tcPr>
            <w:tcW w:w="0" w:type="auto"/>
            <w:vAlign w:val="center"/>
            <w:hideMark/>
          </w:tcPr>
          <w:p w14:paraId="0BE0B060" w14:textId="77777777" w:rsidR="003F001A" w:rsidRPr="003F001A" w:rsidRDefault="003F001A" w:rsidP="003F001A">
            <w:pPr>
              <w:rPr>
                <w:b/>
                <w:bCs/>
              </w:rPr>
            </w:pPr>
            <w:r w:rsidRPr="003F001A">
              <w:rPr>
                <w:b/>
                <w:bCs/>
              </w:rPr>
              <w:t>Face Value (FV)</w:t>
            </w:r>
          </w:p>
        </w:tc>
        <w:tc>
          <w:tcPr>
            <w:tcW w:w="0" w:type="auto"/>
            <w:vAlign w:val="center"/>
            <w:hideMark/>
          </w:tcPr>
          <w:p w14:paraId="45DB19E8" w14:textId="77777777" w:rsidR="003F001A" w:rsidRPr="003F001A" w:rsidRDefault="003F001A" w:rsidP="003F001A">
            <w:pPr>
              <w:rPr>
                <w:b/>
                <w:bCs/>
              </w:rPr>
            </w:pPr>
            <w:r w:rsidRPr="003F001A">
              <w:rPr>
                <w:b/>
                <w:bCs/>
              </w:rPr>
              <w:t>Initial Price (%)</w:t>
            </w:r>
          </w:p>
        </w:tc>
        <w:tc>
          <w:tcPr>
            <w:tcW w:w="0" w:type="auto"/>
            <w:vAlign w:val="center"/>
            <w:hideMark/>
          </w:tcPr>
          <w:p w14:paraId="017DBA9E" w14:textId="77777777" w:rsidR="003F001A" w:rsidRPr="003F001A" w:rsidRDefault="003F001A" w:rsidP="003F001A">
            <w:pPr>
              <w:rPr>
                <w:b/>
                <w:bCs/>
              </w:rPr>
            </w:pPr>
            <w:r w:rsidRPr="003F001A">
              <w:rPr>
                <w:b/>
                <w:bCs/>
              </w:rPr>
              <w:t>Initial Market Value</w:t>
            </w:r>
          </w:p>
        </w:tc>
      </w:tr>
      <w:tr w:rsidR="003F001A" w:rsidRPr="003F001A" w14:paraId="4274B4BE" w14:textId="77777777">
        <w:trPr>
          <w:tblCellSpacing w:w="15" w:type="dxa"/>
        </w:trPr>
        <w:tc>
          <w:tcPr>
            <w:tcW w:w="0" w:type="auto"/>
            <w:vAlign w:val="center"/>
            <w:hideMark/>
          </w:tcPr>
          <w:p w14:paraId="21667049" w14:textId="77777777" w:rsidR="003F001A" w:rsidRPr="003F001A" w:rsidRDefault="003F001A" w:rsidP="003F001A">
            <w:r w:rsidRPr="003F001A">
              <w:t>Senior</w:t>
            </w:r>
          </w:p>
        </w:tc>
        <w:tc>
          <w:tcPr>
            <w:tcW w:w="0" w:type="auto"/>
            <w:vAlign w:val="center"/>
            <w:hideMark/>
          </w:tcPr>
          <w:p w14:paraId="71EE52F2" w14:textId="77777777" w:rsidR="003F001A" w:rsidRPr="003F001A" w:rsidRDefault="003F001A" w:rsidP="003F001A">
            <w:r w:rsidRPr="003F001A">
              <w:t>$35.00</w:t>
            </w:r>
          </w:p>
        </w:tc>
        <w:tc>
          <w:tcPr>
            <w:tcW w:w="0" w:type="auto"/>
            <w:vAlign w:val="center"/>
            <w:hideMark/>
          </w:tcPr>
          <w:p w14:paraId="5EF0F11E" w14:textId="77777777" w:rsidR="003F001A" w:rsidRPr="003F001A" w:rsidRDefault="003F001A" w:rsidP="003F001A">
            <w:r w:rsidRPr="003F001A">
              <w:t>98.00%</w:t>
            </w:r>
          </w:p>
        </w:tc>
        <w:tc>
          <w:tcPr>
            <w:tcW w:w="0" w:type="auto"/>
            <w:vAlign w:val="center"/>
            <w:hideMark/>
          </w:tcPr>
          <w:p w14:paraId="5C5EF89E" w14:textId="77777777" w:rsidR="003F001A" w:rsidRPr="003F001A" w:rsidRDefault="003F001A" w:rsidP="003F001A">
            <w:r w:rsidRPr="003F001A">
              <w:t>$34.30</w:t>
            </w:r>
          </w:p>
        </w:tc>
      </w:tr>
      <w:tr w:rsidR="003F001A" w:rsidRPr="003F001A" w14:paraId="6B5F2EA0" w14:textId="77777777">
        <w:trPr>
          <w:tblCellSpacing w:w="15" w:type="dxa"/>
        </w:trPr>
        <w:tc>
          <w:tcPr>
            <w:tcW w:w="0" w:type="auto"/>
            <w:vAlign w:val="center"/>
            <w:hideMark/>
          </w:tcPr>
          <w:p w14:paraId="1246B3B8" w14:textId="77777777" w:rsidR="003F001A" w:rsidRPr="003F001A" w:rsidRDefault="003F001A" w:rsidP="003F001A">
            <w:r w:rsidRPr="003F001A">
              <w:t>Mezzanine</w:t>
            </w:r>
          </w:p>
        </w:tc>
        <w:tc>
          <w:tcPr>
            <w:tcW w:w="0" w:type="auto"/>
            <w:vAlign w:val="center"/>
            <w:hideMark/>
          </w:tcPr>
          <w:p w14:paraId="3D695364" w14:textId="77777777" w:rsidR="003F001A" w:rsidRPr="003F001A" w:rsidRDefault="003F001A" w:rsidP="003F001A">
            <w:r w:rsidRPr="003F001A">
              <w:t>$10.00</w:t>
            </w:r>
          </w:p>
        </w:tc>
        <w:tc>
          <w:tcPr>
            <w:tcW w:w="0" w:type="auto"/>
            <w:vAlign w:val="center"/>
            <w:hideMark/>
          </w:tcPr>
          <w:p w14:paraId="0CB0E9FD" w14:textId="77777777" w:rsidR="003F001A" w:rsidRPr="003F001A" w:rsidRDefault="003F001A" w:rsidP="003F001A">
            <w:r w:rsidRPr="003F001A">
              <w:t>90.00%</w:t>
            </w:r>
          </w:p>
        </w:tc>
        <w:tc>
          <w:tcPr>
            <w:tcW w:w="0" w:type="auto"/>
            <w:vAlign w:val="center"/>
            <w:hideMark/>
          </w:tcPr>
          <w:p w14:paraId="7A0D4D66" w14:textId="77777777" w:rsidR="003F001A" w:rsidRPr="003F001A" w:rsidRDefault="003F001A" w:rsidP="003F001A">
            <w:r w:rsidRPr="003F001A">
              <w:t>$9.00</w:t>
            </w:r>
          </w:p>
        </w:tc>
      </w:tr>
      <w:tr w:rsidR="003F001A" w:rsidRPr="003F001A" w14:paraId="75557230" w14:textId="77777777">
        <w:trPr>
          <w:tblCellSpacing w:w="15" w:type="dxa"/>
        </w:trPr>
        <w:tc>
          <w:tcPr>
            <w:tcW w:w="0" w:type="auto"/>
            <w:vAlign w:val="center"/>
            <w:hideMark/>
          </w:tcPr>
          <w:p w14:paraId="3D8C919B" w14:textId="77777777" w:rsidR="003F001A" w:rsidRPr="003F001A" w:rsidRDefault="003F001A" w:rsidP="003F001A">
            <w:r w:rsidRPr="003F001A">
              <w:t>Equity</w:t>
            </w:r>
          </w:p>
        </w:tc>
        <w:tc>
          <w:tcPr>
            <w:tcW w:w="0" w:type="auto"/>
            <w:vAlign w:val="center"/>
            <w:hideMark/>
          </w:tcPr>
          <w:p w14:paraId="54BACD49" w14:textId="77777777" w:rsidR="003F001A" w:rsidRPr="003F001A" w:rsidRDefault="003F001A" w:rsidP="003F001A">
            <w:r w:rsidRPr="003F001A">
              <w:t>$5.00</w:t>
            </w:r>
          </w:p>
        </w:tc>
        <w:tc>
          <w:tcPr>
            <w:tcW w:w="0" w:type="auto"/>
            <w:vAlign w:val="center"/>
            <w:hideMark/>
          </w:tcPr>
          <w:p w14:paraId="1D624B87" w14:textId="77777777" w:rsidR="003F001A" w:rsidRPr="003F001A" w:rsidRDefault="003F001A" w:rsidP="003F001A">
            <w:r w:rsidRPr="003F001A">
              <w:t>70.00%</w:t>
            </w:r>
          </w:p>
        </w:tc>
        <w:tc>
          <w:tcPr>
            <w:tcW w:w="0" w:type="auto"/>
            <w:vAlign w:val="center"/>
            <w:hideMark/>
          </w:tcPr>
          <w:p w14:paraId="5EF843FF" w14:textId="77777777" w:rsidR="003F001A" w:rsidRPr="003F001A" w:rsidRDefault="003F001A" w:rsidP="003F001A">
            <w:r w:rsidRPr="003F001A">
              <w:t>$3.50</w:t>
            </w:r>
          </w:p>
        </w:tc>
      </w:tr>
      <w:tr w:rsidR="003F001A" w:rsidRPr="003F001A" w14:paraId="78C208C5" w14:textId="77777777">
        <w:trPr>
          <w:tblCellSpacing w:w="15" w:type="dxa"/>
        </w:trPr>
        <w:tc>
          <w:tcPr>
            <w:tcW w:w="0" w:type="auto"/>
            <w:vAlign w:val="center"/>
            <w:hideMark/>
          </w:tcPr>
          <w:p w14:paraId="6A0A927F" w14:textId="77777777" w:rsidR="003F001A" w:rsidRPr="003F001A" w:rsidRDefault="003F001A" w:rsidP="003F001A">
            <w:r w:rsidRPr="003F001A">
              <w:rPr>
                <w:b/>
                <w:bCs/>
              </w:rPr>
              <w:t>TOTAL</w:t>
            </w:r>
          </w:p>
        </w:tc>
        <w:tc>
          <w:tcPr>
            <w:tcW w:w="0" w:type="auto"/>
            <w:vAlign w:val="center"/>
            <w:hideMark/>
          </w:tcPr>
          <w:p w14:paraId="32A3041B" w14:textId="77777777" w:rsidR="003F001A" w:rsidRPr="003F001A" w:rsidRDefault="003F001A" w:rsidP="003F001A">
            <w:r w:rsidRPr="003F001A">
              <w:rPr>
                <w:b/>
                <w:bCs/>
              </w:rPr>
              <w:t>$50.00</w:t>
            </w:r>
          </w:p>
        </w:tc>
        <w:tc>
          <w:tcPr>
            <w:tcW w:w="0" w:type="auto"/>
            <w:vAlign w:val="center"/>
            <w:hideMark/>
          </w:tcPr>
          <w:p w14:paraId="32E13DDA" w14:textId="77777777" w:rsidR="003F001A" w:rsidRPr="003F001A" w:rsidRDefault="003F001A" w:rsidP="003F001A">
            <w:r w:rsidRPr="003F001A">
              <w:t>-</w:t>
            </w:r>
          </w:p>
        </w:tc>
        <w:tc>
          <w:tcPr>
            <w:tcW w:w="0" w:type="auto"/>
            <w:vAlign w:val="center"/>
            <w:hideMark/>
          </w:tcPr>
          <w:p w14:paraId="060E96F6" w14:textId="77777777" w:rsidR="003F001A" w:rsidRPr="003F001A" w:rsidRDefault="003F001A" w:rsidP="003F001A">
            <w:r w:rsidRPr="003F001A">
              <w:rPr>
                <w:b/>
                <w:bCs/>
              </w:rPr>
              <w:t>$46.80</w:t>
            </w:r>
          </w:p>
        </w:tc>
      </w:tr>
    </w:tbl>
    <w:p w14:paraId="46D7709E" w14:textId="77777777" w:rsidR="003F001A" w:rsidRPr="003F001A" w:rsidRDefault="003F001A" w:rsidP="003F001A">
      <w:r w:rsidRPr="003F001A">
        <w:t xml:space="preserve">The total initial valuation of our portfolio was </w:t>
      </w:r>
      <w:r w:rsidRPr="003F001A">
        <w:rPr>
          <w:b/>
          <w:bCs/>
        </w:rPr>
        <w:t>$46.80 Billion</w:t>
      </w:r>
      <w:r w:rsidRPr="003F001A">
        <w:t>.</w:t>
      </w:r>
    </w:p>
    <w:p w14:paraId="52082B66" w14:textId="77777777" w:rsidR="003F001A" w:rsidRPr="003F001A" w:rsidRDefault="003F001A" w:rsidP="003F001A">
      <w:pPr>
        <w:rPr>
          <w:b/>
          <w:bCs/>
        </w:rPr>
      </w:pPr>
      <w:r w:rsidRPr="003F001A">
        <w:rPr>
          <w:b/>
          <w:bCs/>
        </w:rPr>
        <w:t>B. The Catastrophe: TVaR Revision Forced by Correlation Breakdown (Q2)</w:t>
      </w:r>
    </w:p>
    <w:p w14:paraId="1E75C545" w14:textId="74F52F5D" w:rsidR="003F001A" w:rsidRPr="003F001A" w:rsidRDefault="003F001A" w:rsidP="003F001A">
      <w:r w:rsidRPr="003F001A">
        <w:rPr>
          <w:b/>
          <w:bCs/>
        </w:rPr>
        <w:t>Explanation:</w:t>
      </w:r>
      <w:r w:rsidRPr="003F001A">
        <w:t xml:space="preserve"> Our business was built on a simple bet: those risks were like a basket of apples, oranges, and bananas. If one piece of fruit rotted (a homeowner defaulted), the others would be fine. We assumed that if one guy in Arizona lost his job and defaulted, it wouldn't affect the guy in New York, so our risk was spread out (</w:t>
      </w:r>
      <w:r w:rsidRPr="003F001A">
        <w:rPr>
          <w:b/>
          <w:bCs/>
        </w:rPr>
        <w:t>low correlation</w:t>
      </w:r>
      <w:r w:rsidRPr="003F001A">
        <w:t xml:space="preserve">). What we discovered is that our fruit basket was full of apples that all came from the same farm. Now, there is a disease (falling national home prices) that is rotting </w:t>
      </w:r>
      <w:r w:rsidRPr="003F001A">
        <w:rPr>
          <w:b/>
          <w:bCs/>
          <w:i/>
          <w:iCs/>
        </w:rPr>
        <w:t>all the apples</w:t>
      </w:r>
      <w:r w:rsidRPr="003F001A">
        <w:t xml:space="preserve"> at the same time (</w:t>
      </w:r>
      <w:r w:rsidRPr="003F001A">
        <w:rPr>
          <w:b/>
          <w:bCs/>
        </w:rPr>
        <w:t>high correlation</w:t>
      </w:r>
      <w:r w:rsidRPr="003F001A">
        <w:t>). All our risks are going bad together. Our diversification is gone.</w:t>
      </w:r>
    </w:p>
    <w:p w14:paraId="271D9A0C" w14:textId="77777777" w:rsidR="003F001A" w:rsidRPr="003F001A" w:rsidRDefault="003F001A" w:rsidP="003F001A">
      <w:pPr>
        <w:rPr>
          <w:b/>
          <w:bCs/>
        </w:rPr>
      </w:pPr>
      <w:r w:rsidRPr="003F001A">
        <w:rPr>
          <w:b/>
          <w:bCs/>
        </w:rPr>
        <w:t>1. The Situation: Systemic Breakdown of Mortgage Correlation</w:t>
      </w:r>
    </w:p>
    <w:p w14:paraId="35AB77C1" w14:textId="67BE91D7" w:rsidR="003F001A" w:rsidRPr="003F001A" w:rsidRDefault="003F001A" w:rsidP="003F001A">
      <w:r w:rsidRPr="003F001A">
        <w:t xml:space="preserve">The specific </w:t>
      </w:r>
      <w:r w:rsidRPr="003F001A">
        <w:rPr>
          <w:b/>
          <w:bCs/>
        </w:rPr>
        <w:t>changing market situation</w:t>
      </w:r>
      <w:r w:rsidRPr="003F001A">
        <w:t xml:space="preserve"> that forces the major TVaR revision is the </w:t>
      </w:r>
      <w:r w:rsidRPr="003F001A">
        <w:rPr>
          <w:b/>
          <w:bCs/>
        </w:rPr>
        <w:t>systemic breakdown of mortgage correlation</w:t>
      </w:r>
      <w:r w:rsidRPr="003F001A">
        <w:t xml:space="preserve">. Our original models assumed </w:t>
      </w:r>
      <w:r w:rsidRPr="003F001A">
        <w:lastRenderedPageBreak/>
        <w:t xml:space="preserve">independence, using a low correlation coefficient </w:t>
      </w:r>
      <m:oMath>
        <m:r>
          <w:rPr>
            <w:rFonts w:ascii="Cambria Math" w:hAnsi="Cambria Math"/>
          </w:rPr>
          <m:t>(</m:t>
        </m:r>
        <m:r>
          <m:rPr>
            <m:sty m:val="p"/>
          </m:rPr>
          <w:rPr>
            <w:rFonts w:ascii="Cambria Math" w:hAnsi="Cambria Math"/>
          </w:rPr>
          <m:t>ρ≈</m:t>
        </m:r>
        <m:r>
          <w:rPr>
            <w:rFonts w:ascii="Cambria Math" w:hAnsi="Cambria Math"/>
          </w:rPr>
          <m:t>0.05)</m:t>
        </m:r>
      </m:oMath>
      <w:r w:rsidRPr="003F001A">
        <w:t>. This low correlation created the illusion of safety.</w:t>
      </w:r>
    </w:p>
    <w:p w14:paraId="0E1E0633" w14:textId="77777777" w:rsidR="003F001A" w:rsidRPr="003F001A" w:rsidRDefault="003F001A" w:rsidP="003F001A">
      <w:pPr>
        <w:rPr>
          <w:b/>
          <w:bCs/>
        </w:rPr>
      </w:pPr>
      <w:r w:rsidRPr="003F001A">
        <w:rPr>
          <w:b/>
          <w:bCs/>
        </w:rPr>
        <w:t>2. The Proof: Advanced Data Analysis Overturns the Model</w:t>
      </w:r>
    </w:p>
    <w:p w14:paraId="30E09943" w14:textId="16B7273A" w:rsidR="003F001A" w:rsidRPr="003F001A" w:rsidRDefault="003F001A" w:rsidP="003F001A">
      <w:r w:rsidRPr="003F001A">
        <w:t xml:space="preserve">The conclusion that correlation failed was based on rigorous quantitative evidence, which Peter Sullivan used to force the model adjustment from </w:t>
      </w:r>
      <m:oMath>
        <m:r>
          <m:rPr>
            <m:sty m:val="p"/>
          </m:rPr>
          <w:rPr>
            <w:rFonts w:ascii="Cambria Math" w:hAnsi="Cambria Math"/>
          </w:rPr>
          <m:t>ρ</m:t>
        </m:r>
        <m:r>
          <w:rPr>
            <w:rFonts w:ascii="Cambria Math" w:hAnsi="Cambria Math"/>
          </w:rPr>
          <m:t>=0.05</m:t>
        </m:r>
      </m:oMath>
      <w:r w:rsidRPr="003F001A">
        <w:t xml:space="preserve"> to </w:t>
      </w:r>
      <m:oMath>
        <m:r>
          <m:rPr>
            <m:sty m:val="p"/>
          </m:rPr>
          <w:rPr>
            <w:rFonts w:ascii="Cambria Math" w:hAnsi="Cambria Math"/>
          </w:rPr>
          <m:t>ρ</m:t>
        </m:r>
        <m:r>
          <w:rPr>
            <w:rFonts w:ascii="Cambria Math" w:hAnsi="Cambria Math"/>
          </w:rPr>
          <m:t>=0.80</m:t>
        </m:r>
      </m:oMath>
    </w:p>
    <w:p w14:paraId="336464CD" w14:textId="372A0CB0" w:rsidR="003F001A" w:rsidRPr="003F001A" w:rsidRDefault="003F001A" w:rsidP="003F001A">
      <w:pPr>
        <w:numPr>
          <w:ilvl w:val="0"/>
          <w:numId w:val="2"/>
        </w:numPr>
      </w:pPr>
      <w:r w:rsidRPr="003F001A">
        <w:rPr>
          <w:b/>
          <w:bCs/>
        </w:rPr>
        <w:t>Micro-Proof: Joint Default Frequency (JDF):</w:t>
      </w:r>
      <w:r w:rsidRPr="003F001A">
        <w:t xml:space="preserve"> Analysis of recent internal delinquency data revealed that the </w:t>
      </w:r>
      <w:r w:rsidRPr="003F001A">
        <w:rPr>
          <w:b/>
          <w:bCs/>
        </w:rPr>
        <w:t>Joint Default Frequency</w:t>
      </w:r>
      <w:r w:rsidRPr="003F001A">
        <w:t xml:space="preserve"> across different mortgage pools was hundreds of times higher than the </w:t>
      </w:r>
      <m:oMath>
        <m:r>
          <m:rPr>
            <m:sty m:val="p"/>
          </m:rPr>
          <w:rPr>
            <w:rFonts w:ascii="Cambria Math" w:hAnsi="Cambria Math"/>
          </w:rPr>
          <m:t>ρ</m:t>
        </m:r>
        <m:r>
          <w:rPr>
            <w:rFonts w:ascii="Cambria Math" w:hAnsi="Cambria Math"/>
          </w:rPr>
          <m:t>=0.05</m:t>
        </m:r>
      </m:oMath>
      <w:r w:rsidRPr="003F001A">
        <w:t xml:space="preserve"> model predicted (See </w:t>
      </w:r>
      <w:r w:rsidRPr="003F001A">
        <w:rPr>
          <w:b/>
          <w:bCs/>
        </w:rPr>
        <w:t>Figure 5</w:t>
      </w:r>
      <w:r w:rsidRPr="003F001A">
        <w:t xml:space="preserve"> in Section IV.D). This empirical discrepancy proved the old model was fundamentally broken.</w:t>
      </w:r>
    </w:p>
    <w:p w14:paraId="2D7BCE90" w14:textId="72AF7E54" w:rsidR="003F001A" w:rsidRPr="003F001A" w:rsidRDefault="003F001A" w:rsidP="003F001A">
      <w:pPr>
        <w:numPr>
          <w:ilvl w:val="0"/>
          <w:numId w:val="2"/>
        </w:numPr>
      </w:pPr>
      <w:r w:rsidRPr="003F001A">
        <w:rPr>
          <w:b/>
          <w:bCs/>
        </w:rPr>
        <w:t>Advanced Proof: Systemic Factor Failure:</w:t>
      </w:r>
      <w:r w:rsidRPr="003F001A">
        <w:t xml:space="preserve"> Our initial models assumed loan default was mostly driven by </w:t>
      </w:r>
      <w:r w:rsidRPr="003F001A">
        <w:rPr>
          <w:b/>
          <w:bCs/>
        </w:rPr>
        <w:t>Idiosyncratic Factors</w:t>
      </w:r>
      <w:r w:rsidRPr="003F001A">
        <w:t xml:space="preserve"> (individual circumstances). Our analysis now proves that the risk has collapsed entirely onto the </w:t>
      </w:r>
      <w:r w:rsidRPr="003F001A">
        <w:rPr>
          <w:b/>
          <w:bCs/>
        </w:rPr>
        <w:t>Systemic Factor</w:t>
      </w:r>
      <w:r w:rsidRPr="003F001A">
        <w:t xml:space="preserve"> (the national housing market). The technical analysis (See </w:t>
      </w:r>
      <w:r w:rsidRPr="003F001A">
        <w:rPr>
          <w:b/>
          <w:bCs/>
        </w:rPr>
        <w:t>Figure 6</w:t>
      </w:r>
      <w:r w:rsidRPr="003F001A">
        <w:t xml:space="preserve"> in Section IV.D) shows that under the new correlation </w:t>
      </w:r>
      <m:oMath>
        <m:r>
          <w:rPr>
            <w:rFonts w:ascii="Cambria Math" w:hAnsi="Cambria Math"/>
          </w:rPr>
          <m:t>(</m:t>
        </m:r>
        <m:r>
          <m:rPr>
            <m:sty m:val="p"/>
          </m:rPr>
          <w:rPr>
            <w:rFonts w:ascii="Cambria Math" w:hAnsi="Cambria Math"/>
          </w:rPr>
          <m:t>ρ</m:t>
        </m:r>
        <m:r>
          <w:rPr>
            <w:rFonts w:ascii="Cambria Math" w:hAnsi="Cambria Math"/>
          </w:rPr>
          <m:t>=0.80)</m:t>
        </m:r>
      </m:oMath>
      <w:r w:rsidRPr="003F001A">
        <w:t>, the default rate becomes exponentially sensitive to a small adverse movement in the Systemic Factor. This means a single market shock now instantly threatens every loan we hold.</w:t>
      </w:r>
    </w:p>
    <w:p w14:paraId="01B025BC" w14:textId="77777777" w:rsidR="003F001A" w:rsidRPr="003F001A" w:rsidRDefault="003F001A" w:rsidP="003F001A">
      <w:pPr>
        <w:rPr>
          <w:b/>
          <w:bCs/>
        </w:rPr>
      </w:pPr>
      <w:r w:rsidRPr="003F001A">
        <w:rPr>
          <w:b/>
          <w:bCs/>
        </w:rPr>
        <w:t>3. The Catastrophic Loss Prediction</w:t>
      </w:r>
    </w:p>
    <w:p w14:paraId="5DA45258" w14:textId="77777777" w:rsidR="003F001A" w:rsidRPr="003F001A" w:rsidRDefault="003F001A" w:rsidP="003F001A">
      <w:r w:rsidRPr="003F001A">
        <w:t xml:space="preserve">This failure forces a drastic revision of the TVaR calculation, which measures the average expected loss in the most extreme 0.1% of market events. The impact of high correlation is to dramatically inflate the "tail" where catastrophic losses reside (See </w:t>
      </w:r>
      <w:r w:rsidRPr="003F001A">
        <w:rPr>
          <w:b/>
          <w:bCs/>
        </w:rPr>
        <w:t>Figure 3</w:t>
      </w:r>
      <w:r w:rsidRPr="003F001A">
        <w:t xml:space="preserve"> in Section IV.B).</w:t>
      </w:r>
    </w:p>
    <w:p w14:paraId="03F7EAE4" w14:textId="5424FB6B" w:rsidR="003F001A" w:rsidRPr="003F001A" w:rsidRDefault="003F001A" w:rsidP="003F001A">
      <w:pPr>
        <w:numPr>
          <w:ilvl w:val="0"/>
          <w:numId w:val="3"/>
        </w:numPr>
      </w:pPr>
      <w:r w:rsidRPr="003F001A">
        <w:rPr>
          <w:b/>
          <w:bCs/>
        </w:rPr>
        <w:t>Initial Flawed TVaR:</w:t>
      </w:r>
      <w:r w:rsidRPr="003F001A">
        <w:t xml:space="preserve"> Predicted a manageable Expected Tail Loss (TVaR) of $2.74 </w:t>
      </w:r>
      <w:r w:rsidRPr="003F001A">
        <w:rPr>
          <w:b/>
          <w:bCs/>
        </w:rPr>
        <w:t>Billion</w:t>
      </w:r>
      <w:r w:rsidRPr="003F001A">
        <w:t>.</w:t>
      </w:r>
    </w:p>
    <w:p w14:paraId="58FAED0A" w14:textId="68DF871A" w:rsidR="003F001A" w:rsidRPr="003F001A" w:rsidRDefault="003F001A" w:rsidP="003F001A">
      <w:pPr>
        <w:numPr>
          <w:ilvl w:val="0"/>
          <w:numId w:val="3"/>
        </w:numPr>
      </w:pPr>
      <w:r w:rsidRPr="003F001A">
        <w:rPr>
          <w:b/>
          <w:bCs/>
        </w:rPr>
        <w:t>Revised Corrected TVaR:</w:t>
      </w:r>
      <w:r w:rsidRPr="003F001A">
        <w:t xml:space="preserve"> Predicts an actual worst-case expected loss of $15.0 </w:t>
      </w:r>
      <w:r w:rsidRPr="003F001A">
        <w:rPr>
          <w:b/>
          <w:bCs/>
        </w:rPr>
        <w:t>Billion</w:t>
      </w:r>
      <w:r w:rsidRPr="003F001A">
        <w:t>.</w:t>
      </w:r>
    </w:p>
    <w:p w14:paraId="2D648C06" w14:textId="77777777" w:rsidR="003F001A" w:rsidRPr="003F001A" w:rsidRDefault="003F001A" w:rsidP="003F001A">
      <w:pPr>
        <w:rPr>
          <w:b/>
          <w:bCs/>
        </w:rPr>
      </w:pPr>
      <w:r w:rsidRPr="003F001A">
        <w:rPr>
          <w:b/>
          <w:bCs/>
        </w:rPr>
        <w:t>C. The New Reality: Insolvency (Q2)</w:t>
      </w:r>
    </w:p>
    <w:p w14:paraId="055C9188" w14:textId="7FC6ADCC" w:rsidR="003F001A" w:rsidRPr="003F001A" w:rsidRDefault="003F001A" w:rsidP="003F001A">
      <w:pPr>
        <w:numPr>
          <w:ilvl w:val="0"/>
          <w:numId w:val="4"/>
        </w:numPr>
      </w:pPr>
      <w:r w:rsidRPr="003F001A">
        <w:rPr>
          <w:b/>
          <w:bCs/>
        </w:rPr>
        <w:t>The Problem of Leverage:</w:t>
      </w:r>
      <w:r w:rsidRPr="003F001A">
        <w:t xml:space="preserve"> We hold a $50 Billion portfolio on an equity base of approximately $5.0 </w:t>
      </w:r>
      <w:r w:rsidRPr="003F001A">
        <w:rPr>
          <w:b/>
          <w:bCs/>
        </w:rPr>
        <w:t>Billion</w:t>
      </w:r>
      <w:r w:rsidRPr="003F001A">
        <w:t>.</w:t>
      </w:r>
    </w:p>
    <w:p w14:paraId="4B47CF98" w14:textId="25587039" w:rsidR="003F001A" w:rsidRPr="003F001A" w:rsidRDefault="003F001A" w:rsidP="003F001A">
      <w:pPr>
        <w:numPr>
          <w:ilvl w:val="0"/>
          <w:numId w:val="4"/>
        </w:numPr>
      </w:pPr>
      <w:r w:rsidRPr="003F001A">
        <w:rPr>
          <w:b/>
          <w:bCs/>
        </w:rPr>
        <w:t>Insolvency:</w:t>
      </w:r>
      <w:r w:rsidRPr="003F001A">
        <w:t xml:space="preserve"> The revised TVaR predicts an expected loss </w:t>
      </w:r>
      <w:r w:rsidR="00CD782F">
        <w:t>(</w:t>
      </w:r>
      <w:r w:rsidRPr="003F001A">
        <w:t xml:space="preserve">$15.0 </w:t>
      </w:r>
      <w:r w:rsidRPr="003F001A">
        <w:rPr>
          <w:b/>
          <w:bCs/>
        </w:rPr>
        <w:t>Billion</w:t>
      </w:r>
      <w:r w:rsidRPr="003F001A">
        <w:t xml:space="preserve">) that is three times greater than our capital </w:t>
      </w:r>
      <w:r w:rsidR="00CD782F">
        <w:t>(</w:t>
      </w:r>
      <w:r w:rsidRPr="003F001A">
        <w:t xml:space="preserve">$5.0 </w:t>
      </w:r>
      <w:r w:rsidRPr="003F001A">
        <w:rPr>
          <w:b/>
          <w:bCs/>
        </w:rPr>
        <w:t>Billion</w:t>
      </w:r>
      <w:r w:rsidRPr="003F001A">
        <w:t xml:space="preserve">). This means </w:t>
      </w:r>
      <w:r w:rsidRPr="003F001A">
        <w:rPr>
          <w:b/>
          <w:bCs/>
        </w:rPr>
        <w:t>we are already bankrupt</w:t>
      </w:r>
      <w:r w:rsidRPr="003F001A">
        <w:t xml:space="preserve"> if we hold this position into a market repricing.</w:t>
      </w:r>
    </w:p>
    <w:p w14:paraId="1CF3D51C" w14:textId="77777777" w:rsidR="003F001A" w:rsidRPr="003F001A" w:rsidRDefault="003F001A" w:rsidP="003F001A">
      <w:pPr>
        <w:rPr>
          <w:b/>
          <w:bCs/>
        </w:rPr>
      </w:pPr>
      <w:r w:rsidRPr="003F001A">
        <w:rPr>
          <w:b/>
          <w:bCs/>
        </w:rPr>
        <w:lastRenderedPageBreak/>
        <w:t>III. Survival Strategy: Optimal Liquidation (Q3)</w:t>
      </w:r>
    </w:p>
    <w:p w14:paraId="5143534F" w14:textId="77777777" w:rsidR="003F001A" w:rsidRPr="003F001A" w:rsidRDefault="003F001A" w:rsidP="003F001A">
      <w:r w:rsidRPr="003F001A">
        <w:t>The catastrophic loss exposure demands immediate, decisive action. The strategy is to liquidate the entire portfolio within the current trading day.</w:t>
      </w:r>
    </w:p>
    <w:p w14:paraId="1EDFEA1F" w14:textId="0E6F7A43" w:rsidR="003F001A" w:rsidRPr="003F001A" w:rsidRDefault="003F001A" w:rsidP="003F001A">
      <w:pPr>
        <w:rPr>
          <w:b/>
          <w:bCs/>
        </w:rPr>
      </w:pPr>
      <w:r w:rsidRPr="003F001A">
        <w:rPr>
          <w:b/>
          <w:bCs/>
        </w:rPr>
        <w:t>A. The Urgency (Almgren and Chriss)</w:t>
      </w:r>
    </w:p>
    <w:p w14:paraId="561C3945" w14:textId="77777777" w:rsidR="00F9025A" w:rsidRPr="00F9025A" w:rsidRDefault="00F9025A" w:rsidP="00F9025A">
      <w:r w:rsidRPr="00F9025A">
        <w:t xml:space="preserve">The decision to liquidate the entire $50 Billion portfolio within the first few hours of trading is dictated by a ruthless risk/cost trade-off, precisely modeled by the </w:t>
      </w:r>
      <w:r w:rsidRPr="00F9025A">
        <w:rPr>
          <w:b/>
          <w:bCs/>
        </w:rPr>
        <w:t>Almgren and Chriss Optimal Trading Trajectory model</w:t>
      </w:r>
      <w:r w:rsidRPr="00F9025A">
        <w:t>.</w:t>
      </w:r>
    </w:p>
    <w:p w14:paraId="13CDE1B6" w14:textId="26385A54" w:rsidR="00F9025A" w:rsidRPr="00F9025A" w:rsidRDefault="00F9025A" w:rsidP="00F9025A">
      <w:r w:rsidRPr="00F9025A">
        <w:t xml:space="preserve">This model minimizes the sum of </w:t>
      </w:r>
      <w:r w:rsidRPr="00F9025A">
        <w:rPr>
          <w:b/>
          <w:bCs/>
        </w:rPr>
        <w:t>Mean Execution Cost</w:t>
      </w:r>
      <w:r w:rsidRPr="00F9025A">
        <w:t xml:space="preserve"> </w:t>
      </w:r>
      <m:oMath>
        <m:d>
          <m:dPr>
            <m:ctrlPr>
              <w:rPr>
                <w:rFonts w:ascii="Cambria Math" w:hAnsi="Cambria Math"/>
                <w:i/>
              </w:rPr>
            </m:ctrlPr>
          </m:dPr>
          <m:e>
            <m:r>
              <w:rPr>
                <w:rFonts w:ascii="Cambria Math" w:hAnsi="Cambria Math"/>
              </w:rPr>
              <m:t>E</m:t>
            </m:r>
            <m:d>
              <m:dPr>
                <m:begChr m:val="["/>
                <m:endChr m:val="]"/>
                <m:ctrlPr>
                  <w:rPr>
                    <w:rFonts w:ascii="Cambria Math" w:hAnsi="Cambria Math"/>
                    <w:i/>
                  </w:rPr>
                </m:ctrlPr>
              </m:dPr>
              <m:e>
                <m:r>
                  <w:rPr>
                    <w:rFonts w:ascii="Cambria Math" w:hAnsi="Cambria Math"/>
                  </w:rPr>
                  <m:t>Z</m:t>
                </m:r>
              </m:e>
            </m:d>
          </m:e>
        </m:d>
      </m:oMath>
      <w:r w:rsidRPr="00F9025A">
        <w:t xml:space="preserve"> and </w:t>
      </w:r>
      <w:r w:rsidRPr="00F9025A">
        <w:rPr>
          <w:b/>
          <w:bCs/>
        </w:rPr>
        <w:t>Risk Cost (Variance)</w:t>
      </w:r>
      <w:r w:rsidRPr="00F9025A">
        <w:t xml:space="preserve"> </w:t>
      </w:r>
      <m:oMath>
        <m:d>
          <m:dPr>
            <m:ctrlPr>
              <w:rPr>
                <w:rFonts w:ascii="Cambria Math" w:hAnsi="Cambria Math"/>
                <w:i/>
              </w:rPr>
            </m:ctrlPr>
          </m:dPr>
          <m:e>
            <m:r>
              <m:rPr>
                <m:nor/>
              </m:rPr>
              <w:rPr>
                <w:rFonts w:ascii="Cambria Math" w:hAnsi="Cambria Math"/>
              </w:rPr>
              <m:t>Var</m:t>
            </m:r>
            <m:d>
              <m:dPr>
                <m:begChr m:val="["/>
                <m:endChr m:val="]"/>
                <m:ctrlPr>
                  <w:rPr>
                    <w:rFonts w:ascii="Cambria Math" w:hAnsi="Cambria Math"/>
                    <w:i/>
                  </w:rPr>
                </m:ctrlPr>
              </m:dPr>
              <m:e>
                <m:r>
                  <w:rPr>
                    <w:rFonts w:ascii="Cambria Math" w:hAnsi="Cambria Math"/>
                  </w:rPr>
                  <m:t>Z</m:t>
                </m:r>
              </m:e>
            </m:d>
          </m:e>
        </m:d>
      </m:oMath>
      <w:r w:rsidRPr="00F9025A">
        <w:t xml:space="preserve">, weighted by the firm's risk aversion parameter </w:t>
      </w:r>
      <m:oMath>
        <m:r>
          <w:rPr>
            <w:rFonts w:ascii="Cambria Math" w:hAnsi="Cambria Math"/>
          </w:rPr>
          <m:t>(</m:t>
        </m:r>
        <m:r>
          <m:rPr>
            <m:sty m:val="p"/>
          </m:rPr>
          <w:rPr>
            <w:rFonts w:ascii="Cambria Math" w:hAnsi="Cambria Math"/>
          </w:rPr>
          <m:t>λ</m:t>
        </m:r>
        <m:r>
          <w:rPr>
            <w:rFonts w:ascii="Cambria Math" w:hAnsi="Cambria Math"/>
          </w:rPr>
          <m:t>)</m:t>
        </m:r>
      </m:oMath>
      <w:r w:rsidRPr="00F9025A">
        <w:t>:</w:t>
      </w:r>
    </w:p>
    <w:p w14:paraId="5C58CE32" w14:textId="0E8EF872" w:rsidR="00F9025A" w:rsidRPr="00F9025A" w:rsidRDefault="00000000" w:rsidP="00F9025A">
      <m:oMathPara>
        <m:oMath>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e>
                <m:lim>
                  <m:sSub>
                    <m:sSubPr>
                      <m:ctrlPr>
                        <w:rPr>
                          <w:rFonts w:ascii="Cambria Math" w:hAnsi="Cambria Math"/>
                          <w:i/>
                        </w:rPr>
                      </m:ctrlPr>
                    </m:sSubPr>
                    <m:e>
                      <m:r>
                        <w:rPr>
                          <w:rFonts w:ascii="Cambria Math" w:hAnsi="Cambria Math"/>
                        </w:rPr>
                        <m:t>n</m:t>
                      </m:r>
                    </m:e>
                    <m:sub>
                      <m:r>
                        <w:rPr>
                          <w:rFonts w:ascii="Cambria Math" w:hAnsi="Cambria Math"/>
                        </w:rPr>
                        <m:t>k</m:t>
                      </m:r>
                    </m:sub>
                  </m:sSub>
                  <m:ctrlPr>
                    <w:rPr>
                      <w:rFonts w:ascii="Cambria Math" w:hAnsi="Cambria Math"/>
                    </w:rPr>
                  </m:ctrlPr>
                </m:lim>
              </m:limLow>
              <m:ctrlPr>
                <w:rPr>
                  <w:rFonts w:ascii="Cambria Math" w:hAnsi="Cambria Math"/>
                  <w:i/>
                </w:rPr>
              </m:ctrlPr>
            </m:fName>
            <m:e>
              <m:r>
                <m:rPr>
                  <m:lit/>
                </m:rPr>
                <w:rPr>
                  <w:rFonts w:ascii="Cambria Math" w:hAnsi="Cambria Math"/>
                </w:rPr>
                <m:t>{</m:t>
              </m:r>
              <m:ctrlPr>
                <w:rPr>
                  <w:rFonts w:ascii="Cambria Math" w:hAnsi="Cambria Math"/>
                  <w:i/>
                </w:rPr>
              </m:ctrlPr>
            </m:e>
          </m:func>
          <m:r>
            <w:rPr>
              <w:rFonts w:ascii="Cambria Math" w:hAnsi="Cambria Math"/>
            </w:rPr>
            <m:t>E</m:t>
          </m:r>
          <m:d>
            <m:dPr>
              <m:begChr m:val="["/>
              <m:endChr m:val="]"/>
              <m:ctrlPr>
                <w:rPr>
                  <w:rFonts w:ascii="Cambria Math" w:hAnsi="Cambria Math"/>
                  <w:i/>
                </w:rPr>
              </m:ctrlPr>
            </m:dPr>
            <m:e>
              <m:r>
                <w:rPr>
                  <w:rFonts w:ascii="Cambria Math" w:hAnsi="Cambria Math"/>
                </w:rPr>
                <m:t>Z</m:t>
              </m:r>
            </m:e>
          </m:d>
          <m:r>
            <w:rPr>
              <w:rFonts w:ascii="Cambria Math" w:hAnsi="Cambria Math"/>
            </w:rPr>
            <m:t>+</m:t>
          </m:r>
          <m:r>
            <m:rPr>
              <m:sty m:val="p"/>
            </m:rPr>
            <w:rPr>
              <w:rFonts w:ascii="Cambria Math" w:hAnsi="Cambria Math"/>
            </w:rPr>
            <m:t>λ</m:t>
          </m:r>
          <m:r>
            <m:rPr>
              <m:nor/>
            </m:rPr>
            <w:rPr>
              <w:rFonts w:ascii="Cambria Math" w:hAnsi="Cambria Math"/>
            </w:rPr>
            <m:t>Var</m:t>
          </m:r>
          <m:d>
            <m:dPr>
              <m:begChr m:val="["/>
              <m:endChr m:val="]"/>
              <m:ctrlPr>
                <w:rPr>
                  <w:rFonts w:ascii="Cambria Math" w:hAnsi="Cambria Math"/>
                  <w:i/>
                </w:rPr>
              </m:ctrlPr>
            </m:dPr>
            <m:e>
              <m:r>
                <w:rPr>
                  <w:rFonts w:ascii="Cambria Math" w:hAnsi="Cambria Math"/>
                </w:rPr>
                <m:t>Z</m:t>
              </m:r>
            </m:e>
          </m:d>
          <m:r>
            <m:rPr>
              <m:lit/>
            </m:rPr>
            <w:rPr>
              <w:rFonts w:ascii="Cambria Math" w:hAnsi="Cambria Math"/>
            </w:rPr>
            <m:t>}</m:t>
          </m:r>
        </m:oMath>
      </m:oMathPara>
    </w:p>
    <w:p w14:paraId="55EB2E27" w14:textId="74F67CC7" w:rsidR="00F9025A" w:rsidRPr="00F9025A" w:rsidRDefault="00F9025A" w:rsidP="00F9025A">
      <w:r w:rsidRPr="00F9025A">
        <w:t>The costs are defined by the permanent (</w:t>
      </w:r>
      <m:oMath>
        <m:r>
          <m:rPr>
            <m:sty m:val="p"/>
          </m:rPr>
          <w:rPr>
            <w:rFonts w:ascii="Cambria Math" w:hAnsi="Cambria Math"/>
          </w:rPr>
          <m:t>γ</m:t>
        </m:r>
      </m:oMath>
      <w:r w:rsidRPr="00F9025A">
        <w:t>) and temporary (</w:t>
      </w:r>
      <m:oMath>
        <m:r>
          <m:rPr>
            <m:sty m:val="p"/>
          </m:rPr>
          <w:rPr>
            <w:rFonts w:ascii="Cambria Math" w:hAnsi="Cambria Math"/>
          </w:rPr>
          <m:t>η</m:t>
        </m:r>
      </m:oMath>
      <w:r w:rsidRPr="00F9025A">
        <w:t>) price impacts associated with the selling schedule (</w:t>
      </w:r>
      <m:oMath>
        <m:sSub>
          <m:sSubPr>
            <m:ctrlPr>
              <w:rPr>
                <w:rFonts w:ascii="Cambria Math" w:hAnsi="Cambria Math"/>
                <w:i/>
              </w:rPr>
            </m:ctrlPr>
          </m:sSubPr>
          <m:e>
            <m:r>
              <w:rPr>
                <w:rFonts w:ascii="Cambria Math" w:hAnsi="Cambria Math"/>
              </w:rPr>
              <m:t>n</m:t>
            </m:r>
          </m:e>
          <m:sub>
            <m:r>
              <w:rPr>
                <w:rFonts w:ascii="Cambria Math" w:hAnsi="Cambria Math"/>
              </w:rPr>
              <m:t>k</m:t>
            </m:r>
          </m:sub>
        </m:sSub>
      </m:oMath>
      <w:r w:rsidRPr="00F9025A">
        <w:t>) over time (</w:t>
      </w:r>
      <m:oMath>
        <m:r>
          <m:rPr>
            <m:sty m:val="p"/>
          </m:rPr>
          <w:rPr>
            <w:rFonts w:ascii="Cambria Math" w:hAnsi="Cambria Math"/>
          </w:rPr>
          <m:t>τ</m:t>
        </m:r>
      </m:oMath>
      <w:r w:rsidRPr="00F9025A">
        <w:t>).</w:t>
      </w:r>
    </w:p>
    <w:p w14:paraId="3A566DC7" w14:textId="77777777" w:rsidR="00F9025A" w:rsidRPr="00F9025A" w:rsidRDefault="00F9025A" w:rsidP="00F9025A">
      <w:pPr>
        <w:numPr>
          <w:ilvl w:val="0"/>
          <w:numId w:val="7"/>
        </w:numPr>
      </w:pPr>
      <w:r w:rsidRPr="00F9025A">
        <w:rPr>
          <w:b/>
          <w:bCs/>
        </w:rPr>
        <w:t>The Critical Choice: Trading Cost vs. Existential Risk.</w:t>
      </w:r>
    </w:p>
    <w:p w14:paraId="20BE3C71" w14:textId="1E98951A" w:rsidR="00F9025A" w:rsidRPr="00F9025A" w:rsidRDefault="00F9025A" w:rsidP="00F9025A">
      <w:pPr>
        <w:numPr>
          <w:ilvl w:val="1"/>
          <w:numId w:val="7"/>
        </w:numPr>
      </w:pPr>
      <w:r w:rsidRPr="00F9025A">
        <w:rPr>
          <w:b/>
          <w:bCs/>
        </w:rPr>
        <w:t>Scenario A (Slow Sell, 2 Days):</w:t>
      </w:r>
      <w:r w:rsidRPr="00F9025A">
        <w:t xml:space="preserve"> This schedule minimizes the market friction cost </w:t>
      </w:r>
      <m:oMath>
        <m:d>
          <m:dPr>
            <m:ctrlPr>
              <w:rPr>
                <w:rFonts w:ascii="Cambria Math" w:hAnsi="Cambria Math"/>
                <w:i/>
              </w:rPr>
            </m:ctrlPr>
          </m:dPr>
          <m:e>
            <m:r>
              <w:rPr>
                <w:rFonts w:ascii="Cambria Math" w:hAnsi="Cambria Math"/>
              </w:rPr>
              <m:t>E</m:t>
            </m:r>
            <m:d>
              <m:dPr>
                <m:begChr m:val="["/>
                <m:endChr m:val="]"/>
                <m:ctrlPr>
                  <w:rPr>
                    <w:rFonts w:ascii="Cambria Math" w:hAnsi="Cambria Math"/>
                    <w:i/>
                  </w:rPr>
                </m:ctrlPr>
              </m:dPr>
              <m:e>
                <m:r>
                  <w:rPr>
                    <w:rFonts w:ascii="Cambria Math" w:hAnsi="Cambria Math"/>
                  </w:rPr>
                  <m:t>Z</m:t>
                </m:r>
              </m:e>
            </m:d>
            <m:r>
              <w:rPr>
                <w:rFonts w:ascii="Cambria Math" w:hAnsi="Cambria Math"/>
              </w:rPr>
              <m:t>+</m:t>
            </m:r>
            <m:r>
              <m:rPr>
                <m:sty m:val="p"/>
              </m:rPr>
              <w:rPr>
                <w:rFonts w:ascii="Cambria Math" w:hAnsi="Cambria Math"/>
              </w:rPr>
              <m:t>λ</m:t>
            </m:r>
            <m:r>
              <m:rPr>
                <m:nor/>
              </m:rPr>
              <w:rPr>
                <w:rFonts w:ascii="Cambria Math" w:hAnsi="Cambria Math"/>
              </w:rPr>
              <m:t>Var</m:t>
            </m:r>
            <m:d>
              <m:dPr>
                <m:begChr m:val="["/>
                <m:endChr m:val="]"/>
                <m:ctrlPr>
                  <w:rPr>
                    <w:rFonts w:ascii="Cambria Math" w:hAnsi="Cambria Math"/>
                    <w:i/>
                  </w:rPr>
                </m:ctrlPr>
              </m:dPr>
              <m:e>
                <m:r>
                  <w:rPr>
                    <w:rFonts w:ascii="Cambria Math" w:hAnsi="Cambria Math"/>
                  </w:rPr>
                  <m:t>Z</m:t>
                </m:r>
              </m:e>
            </m:d>
          </m:e>
        </m:d>
      </m:oMath>
      <w:r w:rsidRPr="00F9025A">
        <w:t xml:space="preserve"> to </w:t>
      </w:r>
      <w:r w:rsidRPr="00F9025A">
        <w:rPr>
          <w:b/>
          <w:bCs/>
        </w:rPr>
        <w:t>$35.0 Million</w:t>
      </w:r>
      <w:r w:rsidRPr="00F9025A">
        <w:t xml:space="preserve">. </w:t>
      </w:r>
      <w:r w:rsidRPr="00F9025A">
        <w:rPr>
          <w:i/>
          <w:iCs/>
        </w:rPr>
        <w:t>However, this choice fails the primary objective of survival.</w:t>
      </w:r>
      <w:r w:rsidRPr="00F9025A">
        <w:t xml:space="preserve"> By delaying the sale, the firm retains the $15.0</w:t>
      </w:r>
      <w:r w:rsidR="0058688D">
        <w:t xml:space="preserve"> </w:t>
      </w:r>
      <w:r w:rsidRPr="00F9025A">
        <w:t>Billion catastrophic loss exposure identified by the TVaR, leading to certain bankruptcy.</w:t>
      </w:r>
    </w:p>
    <w:p w14:paraId="3D218A07" w14:textId="0922ABEE" w:rsidR="00F9025A" w:rsidRDefault="00F9025A" w:rsidP="00F9025A">
      <w:pPr>
        <w:numPr>
          <w:ilvl w:val="1"/>
          <w:numId w:val="7"/>
        </w:numPr>
      </w:pPr>
      <w:r w:rsidRPr="00F9025A">
        <w:rPr>
          <w:b/>
          <w:bCs/>
        </w:rPr>
        <w:t>Scenario B (Instant Sell, 0.1 Days):</w:t>
      </w:r>
      <w:r w:rsidRPr="00F9025A">
        <w:t xml:space="preserve"> This schedule maximizes the risk elimination. In this crisis, the firm's risk aversion </w:t>
      </w:r>
      <m:oMath>
        <m:r>
          <w:rPr>
            <w:rFonts w:ascii="Cambria Math" w:hAnsi="Cambria Math"/>
          </w:rPr>
          <m:t>(</m:t>
        </m:r>
        <m:r>
          <m:rPr>
            <m:sty m:val="p"/>
          </m:rPr>
          <w:rPr>
            <w:rFonts w:ascii="Cambria Math" w:hAnsi="Cambria Math"/>
          </w:rPr>
          <m:t>λ</m:t>
        </m:r>
        <m:r>
          <w:rPr>
            <w:rFonts w:ascii="Cambria Math" w:hAnsi="Cambria Math"/>
          </w:rPr>
          <m:t>)</m:t>
        </m:r>
      </m:oMath>
      <w:r w:rsidRPr="00F9025A">
        <w:t xml:space="preserve"> becomes effectively infinite, forcing the optimal execution time </w:t>
      </w:r>
      <m:oMath>
        <m:r>
          <w:rPr>
            <w:rFonts w:ascii="Cambria Math" w:hAnsi="Cambria Math"/>
          </w:rPr>
          <m:t xml:space="preserve">(T </m:t>
        </m:r>
        <m:r>
          <m:rPr>
            <m:sty m:val="p"/>
          </m:rPr>
          <w:rPr>
            <w:rFonts w:ascii="Cambria Math" w:hAnsi="Cambria Math"/>
          </w:rPr>
          <m:t>→</m:t>
        </m:r>
        <m:r>
          <w:rPr>
            <w:rFonts w:ascii="Cambria Math" w:hAnsi="Cambria Math"/>
          </w:rPr>
          <m:t>0)</m:t>
        </m:r>
      </m:oMath>
      <w:r w:rsidRPr="00F9025A">
        <w:t xml:space="preserve">, which corresponds to the </w:t>
      </w:r>
      <w:r w:rsidRPr="00F9025A">
        <w:rPr>
          <w:b/>
          <w:bCs/>
        </w:rPr>
        <w:t>"Sell Immediately" special case</w:t>
      </w:r>
      <w:r w:rsidRPr="00F9025A">
        <w:t xml:space="preserve"> discussed in the lecture slides. The cost of choosing this path is the highest execution fee: </w:t>
      </w:r>
      <w:r w:rsidRPr="00F9025A">
        <w:rPr>
          <w:b/>
          <w:bCs/>
        </w:rPr>
        <w:t>$500.5 Million</w:t>
      </w:r>
      <w:r w:rsidRPr="00F9025A">
        <w:t>.</w:t>
      </w:r>
    </w:p>
    <w:p w14:paraId="2A6AA072" w14:textId="77777777" w:rsidR="009450A2" w:rsidRPr="00F9025A" w:rsidRDefault="009450A2" w:rsidP="009450A2"/>
    <w:p w14:paraId="29C7C010" w14:textId="161C1992" w:rsidR="00773A92" w:rsidRPr="00773A92" w:rsidRDefault="00773A92" w:rsidP="00773A92">
      <w:pPr>
        <w:numPr>
          <w:ilvl w:val="0"/>
          <w:numId w:val="8"/>
        </w:numPr>
        <w:rPr>
          <w:b/>
          <w:bCs/>
        </w:rPr>
      </w:pPr>
      <w:r w:rsidRPr="00773A92">
        <w:rPr>
          <w:b/>
          <w:bCs/>
        </w:rPr>
        <w:t xml:space="preserve">The Core Proof: </w:t>
      </w:r>
      <m:oMath>
        <m:r>
          <m:rPr>
            <m:sty m:val="b"/>
          </m:rPr>
          <w:rPr>
            <w:rFonts w:ascii="Cambria Math" w:hAnsi="Cambria Math"/>
          </w:rPr>
          <m:t>λ→∞</m:t>
        </m:r>
      </m:oMath>
      <w:r w:rsidRPr="00773A92">
        <w:rPr>
          <w:b/>
          <w:bCs/>
        </w:rPr>
        <w:t xml:space="preserve"> The central finding of our analysis is that the extreme risk aversion required for survival means the penalty </w:t>
      </w:r>
      <m:oMath>
        <m:d>
          <m:dPr>
            <m:ctrlPr>
              <w:rPr>
                <w:rFonts w:ascii="Cambria Math" w:hAnsi="Cambria Math"/>
                <w:b/>
                <w:bCs/>
                <w:i/>
              </w:rPr>
            </m:ctrlPr>
          </m:dPr>
          <m:e>
            <m:r>
              <w:rPr>
                <w:rFonts w:ascii="Cambria Math" w:hAnsi="Cambria Math"/>
              </w:rPr>
              <m:t>λ</m:t>
            </m:r>
          </m:e>
        </m:d>
      </m:oMath>
      <w:r w:rsidRPr="00773A92">
        <w:rPr>
          <w:b/>
          <w:bCs/>
        </w:rPr>
        <w:t xml:space="preserve">for not trading instantly becomes functionally infinite. This forces the optimal execution strategy </w:t>
      </w:r>
      <m:oMath>
        <m:d>
          <m:dPr>
            <m:ctrlPr>
              <w:rPr>
                <w:rFonts w:ascii="Cambria Math" w:hAnsi="Cambria Math"/>
                <w:b/>
                <w:bCs/>
                <w:i/>
              </w:rPr>
            </m:ctrlPr>
          </m:dPr>
          <m:e>
            <m:sSub>
              <m:sSubPr>
                <m:ctrlPr>
                  <w:rPr>
                    <w:rFonts w:ascii="Cambria Math" w:hAnsi="Cambria Math"/>
                    <w:b/>
                    <w:bCs/>
                    <w:i/>
                  </w:rPr>
                </m:ctrlPr>
              </m:sSubPr>
              <m:e>
                <m:r>
                  <m:rPr>
                    <m:sty m:val="bi"/>
                  </m:rPr>
                  <w:rPr>
                    <w:rFonts w:ascii="Cambria Math" w:hAnsi="Cambria Math"/>
                  </w:rPr>
                  <m:t>n</m:t>
                </m:r>
              </m:e>
              <m:sub>
                <m:r>
                  <m:rPr>
                    <m:sty m:val="bi"/>
                  </m:rPr>
                  <w:rPr>
                    <w:rFonts w:ascii="Cambria Math" w:hAnsi="Cambria Math"/>
                  </w:rPr>
                  <m:t>k</m:t>
                </m:r>
              </m:sub>
            </m:sSub>
          </m:e>
        </m:d>
      </m:oMath>
      <w:r w:rsidRPr="00773A92">
        <w:rPr>
          <w:b/>
          <w:bCs/>
        </w:rPr>
        <w:t xml:space="preserve">to converge on the "Sell Immediately" special case (where </w:t>
      </w:r>
      <m:oMath>
        <m:sSub>
          <m:sSubPr>
            <m:ctrlPr>
              <w:rPr>
                <w:rFonts w:ascii="Cambria Math" w:hAnsi="Cambria Math"/>
                <w:b/>
                <w:bCs/>
                <w:i/>
              </w:rPr>
            </m:ctrlPr>
          </m:sSubPr>
          <m:e>
            <m:r>
              <m:rPr>
                <m:sty m:val="bi"/>
              </m:rPr>
              <w:rPr>
                <w:rFonts w:ascii="Cambria Math" w:hAnsi="Cambria Math"/>
              </w:rPr>
              <m:t>n</m:t>
            </m:r>
          </m:e>
          <m:sub>
            <m:r>
              <m:rPr>
                <m:sty m:val="bi"/>
              </m:rPr>
              <w:rPr>
                <w:rFonts w:ascii="Cambria Math" w:hAnsi="Cambria Math"/>
              </w:rPr>
              <m:t>1</m:t>
            </m:r>
          </m:sub>
        </m:sSub>
        <m:r>
          <m:rPr>
            <m:sty m:val="bi"/>
          </m:rPr>
          <w:rPr>
            <w:rFonts w:ascii="Cambria Math" w:hAnsi="Cambria Math"/>
          </w:rPr>
          <m:t>=X</m:t>
        </m:r>
      </m:oMath>
      <w:r w:rsidRPr="00773A92">
        <w:rPr>
          <w:b/>
          <w:bCs/>
        </w:rPr>
        <w:t xml:space="preserve"> and </w:t>
      </w:r>
      <m:oMath>
        <m:sSub>
          <m:sSubPr>
            <m:ctrlPr>
              <w:rPr>
                <w:rFonts w:ascii="Cambria Math" w:hAnsi="Cambria Math"/>
                <w:b/>
                <w:bCs/>
                <w:i/>
              </w:rPr>
            </m:ctrlPr>
          </m:sSubPr>
          <m:e>
            <m:r>
              <m:rPr>
                <m:sty m:val="bi"/>
              </m:rPr>
              <w:rPr>
                <w:rFonts w:ascii="Cambria Math" w:hAnsi="Cambria Math"/>
              </w:rPr>
              <m:t>n</m:t>
            </m:r>
          </m:e>
          <m:sub>
            <m:r>
              <m:rPr>
                <m:sty m:val="bi"/>
              </m:rPr>
              <w:rPr>
                <w:rFonts w:ascii="Cambria Math" w:hAnsi="Cambria Math"/>
              </w:rPr>
              <m:t>k</m:t>
            </m:r>
          </m:sub>
        </m:sSub>
        <m:r>
          <m:rPr>
            <m:sty m:val="bi"/>
          </m:rPr>
          <w:rPr>
            <w:rFonts w:ascii="Cambria Math" w:hAnsi="Cambria Math"/>
          </w:rPr>
          <m:t>=0</m:t>
        </m:r>
      </m:oMath>
      <w:r w:rsidRPr="00773A92">
        <w:rPr>
          <w:b/>
          <w:bCs/>
        </w:rPr>
        <w:t xml:space="preserve"> for </w:t>
      </w:r>
      <m:oMath>
        <m:r>
          <m:rPr>
            <m:sty m:val="bi"/>
          </m:rPr>
          <w:rPr>
            <w:rFonts w:ascii="Cambria Math" w:hAnsi="Cambria Math"/>
          </w:rPr>
          <m:t>k&gt;1</m:t>
        </m:r>
      </m:oMath>
      <w:r w:rsidRPr="00773A92">
        <w:rPr>
          <w:b/>
          <w:bCs/>
        </w:rPr>
        <w:t>).</w:t>
      </w:r>
    </w:p>
    <w:p w14:paraId="6F1FEA5F" w14:textId="09C49EAB" w:rsidR="00773A92" w:rsidRPr="00773A92" w:rsidRDefault="00773A92" w:rsidP="00773A92">
      <w:pPr>
        <w:rPr>
          <w:b/>
          <w:bCs/>
        </w:rPr>
      </w:pPr>
      <w:r w:rsidRPr="00773A92">
        <w:rPr>
          <w:b/>
          <w:bCs/>
        </w:rPr>
        <w:t xml:space="preserve">The optimal solution for the quantity </w:t>
      </w:r>
      <m:oMath>
        <m:sSub>
          <m:sSubPr>
            <m:ctrlPr>
              <w:rPr>
                <w:rFonts w:ascii="Cambria Math" w:hAnsi="Cambria Math"/>
                <w:b/>
                <w:bCs/>
                <w:i/>
              </w:rPr>
            </m:ctrlPr>
          </m:sSubPr>
          <m:e>
            <m:r>
              <m:rPr>
                <m:sty m:val="bi"/>
              </m:rPr>
              <w:rPr>
                <w:rFonts w:ascii="Cambria Math" w:hAnsi="Cambria Math"/>
              </w:rPr>
              <m:t>n</m:t>
            </m:r>
          </m:e>
          <m:sub>
            <m:r>
              <m:rPr>
                <m:sty m:val="bi"/>
              </m:rPr>
              <w:rPr>
                <w:rFonts w:ascii="Cambria Math" w:hAnsi="Cambria Math"/>
              </w:rPr>
              <m:t>k</m:t>
            </m:r>
          </m:sub>
        </m:sSub>
      </m:oMath>
      <w:r w:rsidRPr="00773A92">
        <w:rPr>
          <w:b/>
          <w:bCs/>
        </w:rPr>
        <w:t xml:space="preserve"> sold in period k is given by:</w:t>
      </w:r>
    </w:p>
    <w:p w14:paraId="366F2012" w14:textId="3C15F580" w:rsidR="00773A92" w:rsidRPr="00773A92" w:rsidRDefault="00000000" w:rsidP="00773A92">
      <w:pPr>
        <w:rPr>
          <w:b/>
          <w:bCs/>
        </w:rPr>
      </w:pPr>
      <m:oMathPara>
        <m:oMath>
          <m:sSub>
            <m:sSubPr>
              <m:ctrlPr>
                <w:rPr>
                  <w:rFonts w:ascii="Cambria Math" w:hAnsi="Cambria Math"/>
                  <w:b/>
                  <w:bCs/>
                  <w:i/>
                </w:rPr>
              </m:ctrlPr>
            </m:sSubPr>
            <m:e>
              <m:r>
                <m:rPr>
                  <m:sty m:val="bi"/>
                </m:rPr>
                <w:rPr>
                  <w:rFonts w:ascii="Cambria Math" w:hAnsi="Cambria Math"/>
                </w:rPr>
                <m:t>n</m:t>
              </m:r>
            </m:e>
            <m:sub>
              <m:r>
                <m:rPr>
                  <m:sty m:val="bi"/>
                </m:rPr>
                <w:rPr>
                  <w:rFonts w:ascii="Cambria Math" w:hAnsi="Cambria Math"/>
                </w:rPr>
                <m:t>k</m:t>
              </m:r>
            </m:sub>
          </m:sSub>
          <m:r>
            <m:rPr>
              <m:sty m:val="bi"/>
            </m:rPr>
            <w:rPr>
              <w:rFonts w:ascii="Cambria Math" w:hAnsi="Cambria Math"/>
            </w:rPr>
            <m:t>=</m:t>
          </m:r>
          <m:d>
            <m:dPr>
              <m:ctrlPr>
                <w:rPr>
                  <w:rFonts w:ascii="Cambria Math" w:hAnsi="Cambria Math"/>
                  <w:b/>
                  <w:bCs/>
                  <w:i/>
                </w:rPr>
              </m:ctrlPr>
            </m:dPr>
            <m:e>
              <m:sSup>
                <m:sSupPr>
                  <m:ctrlPr>
                    <w:rPr>
                      <w:rFonts w:ascii="Cambria Math" w:hAnsi="Cambria Math"/>
                      <w:b/>
                      <w:bCs/>
                      <w:i/>
                    </w:rPr>
                  </m:ctrlPr>
                </m:sSupPr>
                <m:e>
                  <m:r>
                    <m:rPr>
                      <m:sty m:val="bi"/>
                    </m:rPr>
                    <w:rPr>
                      <w:rFonts w:ascii="Cambria Math" w:hAnsi="Cambria Math"/>
                    </w:rPr>
                    <m:t>e</m:t>
                  </m:r>
                </m:e>
                <m:sup>
                  <m:r>
                    <m:rPr>
                      <m:sty m:val="b"/>
                    </m:rPr>
                    <w:rPr>
                      <w:rFonts w:ascii="Cambria Math" w:hAnsi="Cambria Math"/>
                    </w:rPr>
                    <m:t>κ</m:t>
                  </m:r>
                  <m:d>
                    <m:dPr>
                      <m:ctrlPr>
                        <w:rPr>
                          <w:rFonts w:ascii="Cambria Math" w:hAnsi="Cambria Math"/>
                          <w:b/>
                          <w:bCs/>
                          <w:i/>
                        </w:rPr>
                      </m:ctrlPr>
                    </m:dPr>
                    <m:e>
                      <m:r>
                        <m:rPr>
                          <m:sty m:val="bi"/>
                        </m:rPr>
                        <w:rPr>
                          <w:rFonts w:ascii="Cambria Math" w:hAnsi="Cambria Math"/>
                        </w:rPr>
                        <m:t>N-k+1</m:t>
                      </m:r>
                      <m:r>
                        <m:rPr>
                          <m:lit/>
                          <m:sty m:val="bi"/>
                        </m:rPr>
                        <w:rPr>
                          <w:rFonts w:ascii="Cambria Math" w:hAnsi="Cambria Math"/>
                        </w:rPr>
                        <m:t>/</m:t>
                      </m:r>
                      <m:r>
                        <m:rPr>
                          <m:sty m:val="bi"/>
                        </m:rPr>
                        <w:rPr>
                          <w:rFonts w:ascii="Cambria Math" w:hAnsi="Cambria Math"/>
                        </w:rPr>
                        <m:t>2</m:t>
                      </m:r>
                    </m:e>
                  </m:d>
                  <m:r>
                    <m:rPr>
                      <m:sty m:val="b"/>
                    </m:rPr>
                    <w:rPr>
                      <w:rFonts w:ascii="Cambria Math" w:hAnsi="Cambria Math"/>
                    </w:rPr>
                    <m:t>τ</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e</m:t>
                  </m:r>
                </m:e>
                <m:sup>
                  <m:r>
                    <m:rPr>
                      <m:sty m:val="bi"/>
                    </m:rPr>
                    <w:rPr>
                      <w:rFonts w:ascii="Cambria Math" w:hAnsi="Cambria Math"/>
                    </w:rPr>
                    <m:t>-</m:t>
                  </m:r>
                  <m:r>
                    <m:rPr>
                      <m:sty m:val="b"/>
                    </m:rPr>
                    <w:rPr>
                      <w:rFonts w:ascii="Cambria Math" w:hAnsi="Cambria Math"/>
                    </w:rPr>
                    <m:t>κ</m:t>
                  </m:r>
                  <m:d>
                    <m:dPr>
                      <m:ctrlPr>
                        <w:rPr>
                          <w:rFonts w:ascii="Cambria Math" w:hAnsi="Cambria Math"/>
                          <w:b/>
                          <w:bCs/>
                          <w:i/>
                        </w:rPr>
                      </m:ctrlPr>
                    </m:dPr>
                    <m:e>
                      <m:r>
                        <m:rPr>
                          <m:sty m:val="bi"/>
                        </m:rPr>
                        <w:rPr>
                          <w:rFonts w:ascii="Cambria Math" w:hAnsi="Cambria Math"/>
                        </w:rPr>
                        <m:t>N-k+1</m:t>
                      </m:r>
                      <m:r>
                        <m:rPr>
                          <m:lit/>
                          <m:sty m:val="bi"/>
                        </m:rPr>
                        <w:rPr>
                          <w:rFonts w:ascii="Cambria Math" w:hAnsi="Cambria Math"/>
                        </w:rPr>
                        <m:t>/</m:t>
                      </m:r>
                      <m:r>
                        <m:rPr>
                          <m:sty m:val="bi"/>
                        </m:rPr>
                        <w:rPr>
                          <w:rFonts w:ascii="Cambria Math" w:hAnsi="Cambria Math"/>
                        </w:rPr>
                        <m:t>2</m:t>
                      </m:r>
                    </m:e>
                  </m:d>
                  <m:r>
                    <m:rPr>
                      <m:sty m:val="b"/>
                    </m:rPr>
                    <w:rPr>
                      <w:rFonts w:ascii="Cambria Math" w:hAnsi="Cambria Math"/>
                    </w:rPr>
                    <m:t>τ</m:t>
                  </m:r>
                </m:sup>
              </m:sSup>
            </m:e>
          </m:d>
          <m:f>
            <m:fPr>
              <m:ctrlPr>
                <w:rPr>
                  <w:rFonts w:ascii="Cambria Math" w:hAnsi="Cambria Math"/>
                  <w:b/>
                  <w:bCs/>
                </w:rPr>
              </m:ctrlPr>
            </m:fPr>
            <m:num>
              <m:d>
                <m:dPr>
                  <m:ctrlPr>
                    <w:rPr>
                      <w:rFonts w:ascii="Cambria Math" w:hAnsi="Cambria Math"/>
                      <w:b/>
                      <w:bCs/>
                      <w:i/>
                    </w:rPr>
                  </m:ctrlPr>
                </m:dPr>
                <m:e>
                  <m:sSup>
                    <m:sSupPr>
                      <m:ctrlPr>
                        <w:rPr>
                          <w:rFonts w:ascii="Cambria Math" w:hAnsi="Cambria Math"/>
                          <w:b/>
                          <w:bCs/>
                          <w:i/>
                        </w:rPr>
                      </m:ctrlPr>
                    </m:sSupPr>
                    <m:e>
                      <m:r>
                        <m:rPr>
                          <m:sty m:val="bi"/>
                        </m:rPr>
                        <w:rPr>
                          <w:rFonts w:ascii="Cambria Math" w:hAnsi="Cambria Math"/>
                        </w:rPr>
                        <m:t>e</m:t>
                      </m:r>
                    </m:e>
                    <m:sup>
                      <m:r>
                        <m:rPr>
                          <m:sty m:val="b"/>
                        </m:rPr>
                        <w:rPr>
                          <w:rFonts w:ascii="Cambria Math" w:hAnsi="Cambria Math"/>
                        </w:rPr>
                        <m:t>κτ</m:t>
                      </m:r>
                      <m:r>
                        <m:rPr>
                          <m:lit/>
                          <m:sty m:val="bi"/>
                        </m:rPr>
                        <w:rPr>
                          <w:rFonts w:ascii="Cambria Math" w:hAnsi="Cambria Math"/>
                        </w:rPr>
                        <m:t>/</m:t>
                      </m:r>
                      <m:r>
                        <m:rPr>
                          <m:sty m:val="bi"/>
                        </m:rPr>
                        <w:rPr>
                          <w:rFonts w:ascii="Cambria Math" w:hAnsi="Cambria Math"/>
                        </w:rPr>
                        <m:t>2</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e</m:t>
                      </m:r>
                    </m:e>
                    <m:sup>
                      <m:r>
                        <m:rPr>
                          <m:sty m:val="bi"/>
                        </m:rPr>
                        <w:rPr>
                          <w:rFonts w:ascii="Cambria Math" w:hAnsi="Cambria Math"/>
                        </w:rPr>
                        <m:t>-</m:t>
                      </m:r>
                      <m:r>
                        <m:rPr>
                          <m:sty m:val="b"/>
                        </m:rPr>
                        <w:rPr>
                          <w:rFonts w:ascii="Cambria Math" w:hAnsi="Cambria Math"/>
                        </w:rPr>
                        <m:t>κτ</m:t>
                      </m:r>
                      <m:r>
                        <m:rPr>
                          <m:lit/>
                          <m:sty m:val="bi"/>
                        </m:rPr>
                        <w:rPr>
                          <w:rFonts w:ascii="Cambria Math" w:hAnsi="Cambria Math"/>
                        </w:rPr>
                        <m:t>/</m:t>
                      </m:r>
                      <m:r>
                        <m:rPr>
                          <m:sty m:val="bi"/>
                        </m:rPr>
                        <w:rPr>
                          <w:rFonts w:ascii="Cambria Math" w:hAnsi="Cambria Math"/>
                        </w:rPr>
                        <m:t>2</m:t>
                      </m:r>
                    </m:sup>
                  </m:sSup>
                </m:e>
              </m:d>
              <m:ctrlPr>
                <w:rPr>
                  <w:rFonts w:ascii="Cambria Math" w:hAnsi="Cambria Math"/>
                  <w:b/>
                  <w:bCs/>
                  <w:i/>
                </w:rPr>
              </m:ctrlPr>
            </m:num>
            <m:den>
              <m:sSup>
                <m:sSupPr>
                  <m:ctrlPr>
                    <w:rPr>
                      <w:rFonts w:ascii="Cambria Math" w:hAnsi="Cambria Math"/>
                      <w:b/>
                      <w:bCs/>
                      <w:i/>
                    </w:rPr>
                  </m:ctrlPr>
                </m:sSupPr>
                <m:e>
                  <m:r>
                    <m:rPr>
                      <m:sty m:val="bi"/>
                    </m:rPr>
                    <w:rPr>
                      <w:rFonts w:ascii="Cambria Math" w:hAnsi="Cambria Math"/>
                    </w:rPr>
                    <m:t>e</m:t>
                  </m:r>
                </m:e>
                <m:sup>
                  <m:r>
                    <m:rPr>
                      <m:sty m:val="b"/>
                    </m:rPr>
                    <w:rPr>
                      <w:rFonts w:ascii="Cambria Math" w:hAnsi="Cambria Math"/>
                    </w:rPr>
                    <m:t>κ</m:t>
                  </m:r>
                  <m:r>
                    <m:rPr>
                      <m:sty m:val="bi"/>
                    </m:rPr>
                    <w:rPr>
                      <w:rFonts w:ascii="Cambria Math" w:hAnsi="Cambria Math"/>
                    </w:rPr>
                    <m:t>T</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e</m:t>
                  </m:r>
                </m:e>
                <m:sup>
                  <m:r>
                    <m:rPr>
                      <m:sty m:val="bi"/>
                    </m:rPr>
                    <w:rPr>
                      <w:rFonts w:ascii="Cambria Math" w:hAnsi="Cambria Math"/>
                    </w:rPr>
                    <m:t>-</m:t>
                  </m:r>
                  <m:r>
                    <m:rPr>
                      <m:sty m:val="b"/>
                    </m:rPr>
                    <w:rPr>
                      <w:rFonts w:ascii="Cambria Math" w:hAnsi="Cambria Math"/>
                    </w:rPr>
                    <m:t>κ</m:t>
                  </m:r>
                  <m:r>
                    <m:rPr>
                      <m:sty m:val="bi"/>
                    </m:rPr>
                    <w:rPr>
                      <w:rFonts w:ascii="Cambria Math" w:hAnsi="Cambria Math"/>
                    </w:rPr>
                    <m:t>T</m:t>
                  </m:r>
                </m:sup>
              </m:sSup>
              <m:ctrlPr>
                <w:rPr>
                  <w:rFonts w:ascii="Cambria Math" w:hAnsi="Cambria Math"/>
                  <w:b/>
                  <w:bCs/>
                  <w:i/>
                </w:rPr>
              </m:ctrlPr>
            </m:den>
          </m:f>
          <m:r>
            <m:rPr>
              <m:sty m:val="bi"/>
            </m:rPr>
            <w:rPr>
              <w:rFonts w:ascii="Cambria Math" w:hAnsi="Cambria Math"/>
            </w:rPr>
            <m:t>X</m:t>
          </m:r>
        </m:oMath>
      </m:oMathPara>
    </w:p>
    <w:p w14:paraId="4F31A6FF" w14:textId="79BB4BE0" w:rsidR="00A063CA" w:rsidRDefault="00773A92" w:rsidP="00A063CA">
      <w:pPr>
        <w:rPr>
          <w:b/>
          <w:bCs/>
        </w:rPr>
      </w:pPr>
      <w:r w:rsidRPr="00773A92">
        <w:rPr>
          <w:b/>
          <w:bCs/>
        </w:rPr>
        <w:t xml:space="preserve">In our crisis, the high TVaR loss forces </w:t>
      </w:r>
      <m:oMath>
        <m:r>
          <m:rPr>
            <m:sty m:val="b"/>
          </m:rPr>
          <w:rPr>
            <w:rFonts w:ascii="Cambria Math" w:hAnsi="Cambria Math"/>
          </w:rPr>
          <m:t>λ→∞</m:t>
        </m:r>
      </m:oMath>
      <w:r w:rsidRPr="00773A92">
        <w:rPr>
          <w:b/>
          <w:bCs/>
        </w:rPr>
        <w:t xml:space="preserve">, which in turn forces the control parameter </w:t>
      </w:r>
      <m:oMath>
        <m:r>
          <m:rPr>
            <m:sty m:val="b"/>
          </m:rPr>
          <w:rPr>
            <w:rFonts w:ascii="Cambria Math" w:hAnsi="Cambria Math"/>
          </w:rPr>
          <m:t>κ→∞</m:t>
        </m:r>
      </m:oMath>
      <w:r w:rsidRPr="00773A92">
        <w:rPr>
          <w:b/>
          <w:bCs/>
        </w:rPr>
        <w:t xml:space="preserve"> (as derived in the lecture). The resulting limiting case simplifies the equation for </w:t>
      </w:r>
      <m:oMath>
        <m:sSub>
          <m:sSubPr>
            <m:ctrlPr>
              <w:rPr>
                <w:rFonts w:ascii="Cambria Math" w:hAnsi="Cambria Math"/>
                <w:b/>
                <w:bCs/>
                <w:i/>
              </w:rPr>
            </m:ctrlPr>
          </m:sSubPr>
          <m:e>
            <m:r>
              <m:rPr>
                <m:sty m:val="bi"/>
              </m:rPr>
              <w:rPr>
                <w:rFonts w:ascii="Cambria Math" w:hAnsi="Cambria Math"/>
              </w:rPr>
              <m:t>n</m:t>
            </m:r>
          </m:e>
          <m:sub>
            <m:r>
              <m:rPr>
                <m:sty m:val="bi"/>
              </m:rPr>
              <w:rPr>
                <w:rFonts w:ascii="Cambria Math" w:hAnsi="Cambria Math"/>
              </w:rPr>
              <m:t>k</m:t>
            </m:r>
          </m:sub>
        </m:sSub>
      </m:oMath>
      <w:r w:rsidRPr="00773A92">
        <w:rPr>
          <w:b/>
          <w:bCs/>
        </w:rPr>
        <w:t>:</w:t>
      </w:r>
    </w:p>
    <w:p w14:paraId="33382BD7" w14:textId="65F27714" w:rsidR="00A063CA" w:rsidRPr="00A063CA" w:rsidRDefault="00A064BA" w:rsidP="00A063CA">
      <w:pPr>
        <w:rPr>
          <w:b/>
          <w:bCs/>
        </w:rPr>
      </w:pPr>
      <w:commentRangeStart w:id="0"/>
      <m:oMath>
        <m:r>
          <m:rPr>
            <m:sty m:val="bi"/>
          </m:rPr>
          <w:rPr>
            <w:rFonts w:ascii="Cambria Math" w:hAnsi="Cambria Math"/>
          </w:rPr>
          <m:t xml:space="preserve"> </m:t>
        </m:r>
        <m:r>
          <m:rPr>
            <m:sty m:val="b"/>
          </m:rPr>
          <w:rPr>
            <w:rFonts w:ascii="Cambria Math" w:hAnsi="Cambria Math"/>
          </w:rPr>
          <m:t>lim⁡</m:t>
        </m:r>
        <m:r>
          <m:rPr>
            <m:sty m:val="bi"/>
          </m:rPr>
          <w:rPr>
            <w:rFonts w:ascii="Cambria Math" w:hAnsi="Cambria Math"/>
          </w:rPr>
          <m:t>_{</m:t>
        </m:r>
        <m:r>
          <m:rPr>
            <m:sty m:val="b"/>
          </m:rPr>
          <w:rPr>
            <w:rFonts w:ascii="Cambria Math" w:hAnsi="Cambria Math"/>
          </w:rPr>
          <m:t>κ→∞</m:t>
        </m:r>
        <m:r>
          <m:rPr>
            <m:sty m:val="bi"/>
          </m:rPr>
          <w:rPr>
            <w:rFonts w:ascii="Cambria Math" w:hAnsi="Cambria Math"/>
          </w:rPr>
          <m:t xml:space="preserve">} n_k = </m:t>
        </m:r>
        <m:r>
          <m:rPr>
            <m:sty m:val="b"/>
          </m:rPr>
          <w:rPr>
            <w:rFonts w:ascii="Cambria Math" w:eastAsia="Cambria Math" w:hAnsi="Cambria Math" w:cs="Cambria Math" w:hint="eastAsia"/>
          </w:rPr>
          <m:t>〖</m:t>
        </m:r>
        <m:r>
          <m:rPr>
            <m:sty m:val="bi"/>
          </m:rPr>
          <w:rPr>
            <w:rFonts w:ascii="Cambria Math" w:hAnsi="Cambria Math"/>
          </w:rPr>
          <m:t xml:space="preserve">{cases} X &amp; </m:t>
        </m:r>
        <m:r>
          <m:rPr>
            <m:sty m:val="b"/>
          </m:rPr>
          <w:rPr>
            <w:rFonts w:ascii="Cambria Math" w:hAnsi="Cambria Math"/>
          </w:rPr>
          <m:t>"</m:t>
        </m:r>
        <m:r>
          <m:rPr>
            <m:sty m:val="bi"/>
          </m:rPr>
          <w:rPr>
            <w:rFonts w:ascii="Cambria Math" w:hAnsi="Cambria Math"/>
          </w:rPr>
          <m:t xml:space="preserve">{if } k=1 \\ 0 &amp; </m:t>
        </m:r>
        <m:r>
          <m:rPr>
            <m:sty m:val="b"/>
          </m:rPr>
          <w:rPr>
            <w:rFonts w:ascii="Cambria Math" w:hAnsi="Cambria Math"/>
          </w:rPr>
          <m:t>"</m:t>
        </m:r>
        <m:r>
          <m:rPr>
            <m:sty m:val="bi"/>
          </m:rPr>
          <w:rPr>
            <w:rFonts w:ascii="Cambria Math" w:hAnsi="Cambria Math"/>
          </w:rPr>
          <m:t xml:space="preserve">{if } k&gt;1 </m:t>
        </m:r>
        <m:r>
          <m:rPr>
            <m:sty m:val="b"/>
          </m:rPr>
          <w:rPr>
            <w:rFonts w:ascii="Cambria Math" w:eastAsia="Cambria Math" w:hAnsi="Cambria Math" w:cs="Cambria Math" w:hint="eastAsia"/>
          </w:rPr>
          <m:t>〗</m:t>
        </m:r>
        <m:r>
          <m:rPr>
            <m:sty m:val="bi"/>
          </m:rPr>
          <w:rPr>
            <w:rFonts w:ascii="Cambria Math" w:hAnsi="Cambria Math"/>
          </w:rPr>
          <m:t>{cases}</m:t>
        </m:r>
      </m:oMath>
      <w:commentRangeEnd w:id="0"/>
      <w:r w:rsidRPr="00A063CA">
        <w:rPr>
          <w:rStyle w:val="CommentReference"/>
          <w:b/>
          <w:bCs/>
          <w:sz w:val="24"/>
          <w:szCs w:val="24"/>
        </w:rPr>
        <w:commentReference w:id="0"/>
      </w:r>
    </w:p>
    <w:p w14:paraId="64A5892F" w14:textId="7D255248" w:rsidR="001D75F3" w:rsidRPr="00773A92" w:rsidRDefault="00773A92" w:rsidP="00773A92">
      <w:pPr>
        <w:rPr>
          <w:rFonts w:asciiTheme="majorHAnsi" w:hAnsiTheme="majorHAnsi"/>
          <w:b/>
          <w:bCs/>
        </w:rPr>
      </w:pPr>
      <w:r w:rsidRPr="00773A92">
        <w:rPr>
          <w:b/>
          <w:bCs/>
        </w:rPr>
        <w:t xml:space="preserve">This mathematically dictates the rapid liquidation and justifies Sam's command that "all your trades have to be gone" by the end of the first period </w:t>
      </w:r>
      <w:r w:rsidR="00EC517C">
        <w:rPr>
          <w:rFonts w:ascii="Symbol" w:hAnsi="Symbol"/>
          <w:b/>
          <w:bCs/>
        </w:rPr>
        <w:t>t</w:t>
      </w:r>
    </w:p>
    <w:p w14:paraId="1D62AD97" w14:textId="4EB4BF96" w:rsidR="00773A92" w:rsidRPr="00773A92" w:rsidRDefault="00773A92" w:rsidP="00773A92">
      <w:pPr>
        <w:numPr>
          <w:ilvl w:val="0"/>
          <w:numId w:val="8"/>
        </w:numPr>
        <w:rPr>
          <w:b/>
          <w:bCs/>
        </w:rPr>
      </w:pPr>
      <w:r w:rsidRPr="00773A92">
        <w:rPr>
          <w:b/>
          <w:bCs/>
        </w:rPr>
        <w:t>Quantitative Justification for Speed: We must choose the higher execution cost ($500.5 Million) because it is the mandatory price to eliminate the $15.0</w:t>
      </w:r>
      <w:r w:rsidR="007D0AC7">
        <w:rPr>
          <w:b/>
          <w:bCs/>
        </w:rPr>
        <w:t xml:space="preserve"> </w:t>
      </w:r>
      <w:r w:rsidRPr="00773A92">
        <w:rPr>
          <w:b/>
          <w:bCs/>
        </w:rPr>
        <w:t>Billion</w:t>
      </w:r>
      <w:r w:rsidR="007D0AC7">
        <w:rPr>
          <w:b/>
          <w:bCs/>
        </w:rPr>
        <w:t xml:space="preserve"> </w:t>
      </w:r>
      <w:r w:rsidRPr="00773A92">
        <w:rPr>
          <w:b/>
          <w:bCs/>
        </w:rPr>
        <w:t>in</w:t>
      </w:r>
      <w:r w:rsidR="007D0AC7">
        <w:rPr>
          <w:b/>
          <w:bCs/>
        </w:rPr>
        <w:t xml:space="preserve"> </w:t>
      </w:r>
      <w:r w:rsidRPr="00773A92">
        <w:rPr>
          <w:b/>
          <w:bCs/>
        </w:rPr>
        <w:t xml:space="preserve">solvency risk. This trade-off is visually represented in the Almgren and Chriss cost curve (See Figure 4 in Section IV.C). As calculated in the technical analysis, the Survival Cost Ratio is </w:t>
      </w:r>
      <m:oMath>
        <m:r>
          <m:rPr>
            <m:sty m:val="bi"/>
          </m:rPr>
          <w:rPr>
            <w:rFonts w:ascii="Cambria Math" w:hAnsi="Cambria Math"/>
          </w:rPr>
          <m:t>1:30</m:t>
        </m:r>
      </m:oMath>
      <w:r w:rsidRPr="00773A92">
        <w:rPr>
          <w:b/>
          <w:bCs/>
        </w:rPr>
        <w:t>, meaning for every $1 in extra execution cost incurred by selling instantly, the firm eliminates $30 in existential, catastrophic risk. This confirms the mathematical imperative to execute by 11 o'clock.</w:t>
      </w:r>
    </w:p>
    <w:p w14:paraId="01BCA890" w14:textId="77777777" w:rsidR="003F001A" w:rsidRPr="003F001A" w:rsidRDefault="003F001A" w:rsidP="003F001A">
      <w:pPr>
        <w:rPr>
          <w:b/>
          <w:bCs/>
        </w:rPr>
      </w:pPr>
      <w:r w:rsidRPr="003F001A">
        <w:rPr>
          <w:b/>
          <w:bCs/>
        </w:rPr>
        <w:t>B. Implications for Counterparties (Q3)</w:t>
      </w:r>
    </w:p>
    <w:p w14:paraId="3D9B5B2E" w14:textId="77777777" w:rsidR="003F001A" w:rsidRPr="003F001A" w:rsidRDefault="003F001A" w:rsidP="003F001A">
      <w:r w:rsidRPr="003F001A">
        <w:t>This strategy is a calculated, hostile pre-emptive strike. We are effectively selling assets that we know to be priced incorrectly (based on our private TVaR calculation) to our network of counterparties—other major financial institutions.</w:t>
      </w:r>
    </w:p>
    <w:p w14:paraId="0C05B667" w14:textId="77777777" w:rsidR="003F001A" w:rsidRPr="003F001A" w:rsidRDefault="003F001A" w:rsidP="003F001A">
      <w:pPr>
        <w:numPr>
          <w:ilvl w:val="0"/>
          <w:numId w:val="6"/>
        </w:numPr>
      </w:pPr>
      <w:r w:rsidRPr="003F001A">
        <w:rPr>
          <w:b/>
          <w:bCs/>
        </w:rPr>
        <w:t>Market Manipulation:</w:t>
      </w:r>
      <w:r w:rsidRPr="003F001A">
        <w:t xml:space="preserve"> By dumping the assets before the market fully reprices them, we transfer the ultimate, terminal loss of approximately $15 Billion to the buyers.</w:t>
      </w:r>
    </w:p>
    <w:p w14:paraId="52334ADC" w14:textId="77777777" w:rsidR="003F001A" w:rsidRPr="003F001A" w:rsidRDefault="003F001A" w:rsidP="003F001A">
      <w:pPr>
        <w:numPr>
          <w:ilvl w:val="0"/>
          <w:numId w:val="6"/>
        </w:numPr>
      </w:pPr>
      <w:r w:rsidRPr="003F001A">
        <w:rPr>
          <w:b/>
          <w:bCs/>
        </w:rPr>
        <w:t>Consequence:</w:t>
      </w:r>
      <w:r w:rsidRPr="003F001A">
        <w:t xml:space="preserve"> </w:t>
      </w:r>
      <w:r w:rsidRPr="003F001A">
        <w:rPr>
          <w:b/>
          <w:bCs/>
        </w:rPr>
        <w:t>Our firm survives, but our counterparties absorb the impending, correctly-priced loss.</w:t>
      </w:r>
      <w:r w:rsidRPr="003F001A">
        <w:t xml:space="preserve"> This action will permanently burn our reputation and trading relationships.</w:t>
      </w:r>
    </w:p>
    <w:p w14:paraId="14CBB1AA" w14:textId="77777777" w:rsidR="003F001A" w:rsidRPr="003F001A" w:rsidRDefault="003F001A" w:rsidP="003F001A">
      <w:pPr>
        <w:rPr>
          <w:b/>
          <w:bCs/>
        </w:rPr>
      </w:pPr>
      <w:r w:rsidRPr="003F001A">
        <w:rPr>
          <w:b/>
          <w:bCs/>
        </w:rPr>
        <w:t>C. The Trader Incentive (Q3)</w:t>
      </w:r>
    </w:p>
    <w:p w14:paraId="656B9521" w14:textId="77777777" w:rsidR="003F001A" w:rsidRDefault="003F001A" w:rsidP="003F001A">
      <w:r w:rsidRPr="003F001A">
        <w:t xml:space="preserve">The $1 Million bonus (the "bone") is mandatory because we are asking our traders to execute a task that is </w:t>
      </w:r>
      <w:r w:rsidRPr="003F001A">
        <w:rPr>
          <w:b/>
          <w:bCs/>
        </w:rPr>
        <w:t>ethically and professionally suicidal</w:t>
      </w:r>
      <w:r w:rsidRPr="003F001A">
        <w:t>: selling toxic assets to trusting counterparties, destroying their future employability. The bonus ensures loyalty and execution speed in a moment where hesitation means total corporate ruin.</w:t>
      </w:r>
    </w:p>
    <w:p w14:paraId="017C5CD9" w14:textId="77777777" w:rsidR="00B043B8" w:rsidRPr="004F37D2" w:rsidRDefault="00B043B8" w:rsidP="00B043B8">
      <w:pPr>
        <w:rPr>
          <w:b/>
          <w:bCs/>
        </w:rPr>
      </w:pPr>
      <w:r w:rsidRPr="004F37D2">
        <w:rPr>
          <w:b/>
          <w:bCs/>
        </w:rPr>
        <w:t>V. Immediate Action Plan &amp; Warning</w:t>
      </w:r>
    </w:p>
    <w:p w14:paraId="1B02AC41" w14:textId="77777777" w:rsidR="00B043B8" w:rsidRPr="004F37D2" w:rsidRDefault="00B043B8" w:rsidP="00B043B8">
      <w:r w:rsidRPr="004F37D2">
        <w:lastRenderedPageBreak/>
        <w:t>Based on the quantitative confirmation of insolvency risk, the calculated optimal execution strategy, and the necessity of preserving shareholder value, the following actions are required immediately:</w:t>
      </w:r>
    </w:p>
    <w:p w14:paraId="5096EEAA" w14:textId="77777777" w:rsidR="00B043B8" w:rsidRPr="004F37D2" w:rsidRDefault="00B043B8" w:rsidP="00B043B8">
      <w:r w:rsidRPr="004F37D2">
        <w:rPr>
          <w:b/>
          <w:bCs/>
          <w:color w:val="EE0000"/>
        </w:rPr>
        <w:t>Primary Directive</w:t>
      </w:r>
      <w:r w:rsidRPr="004F37D2">
        <w:rPr>
          <w:b/>
          <w:bCs/>
        </w:rPr>
        <w:t>:</w:t>
      </w:r>
      <w:r w:rsidRPr="004F37D2">
        <w:t xml:space="preserve"> The entire MBS portfolio must be liquidated within </w:t>
      </w:r>
      <w:r w:rsidRPr="004F37D2">
        <w:rPr>
          <w:color w:val="EE0000"/>
        </w:rPr>
        <w:t>the first trading hours of the day</w:t>
      </w:r>
      <w:r w:rsidRPr="004F37D2">
        <w:t>. All traders are mandated to participate in the rapid unwinding of this exposure.</w:t>
      </w:r>
    </w:p>
    <w:p w14:paraId="494EC5D0" w14:textId="317B6B1E" w:rsidR="00B043B8" w:rsidRPr="004F37D2" w:rsidRDefault="00B043B8" w:rsidP="00B043B8">
      <w:r w:rsidRPr="004F37D2">
        <w:rPr>
          <w:b/>
          <w:bCs/>
          <w:color w:val="EE0000"/>
        </w:rPr>
        <w:t>The Warning</w:t>
      </w:r>
      <w:r w:rsidRPr="004F37D2">
        <w:rPr>
          <w:b/>
          <w:bCs/>
        </w:rPr>
        <w:t>:</w:t>
      </w:r>
      <w:r w:rsidRPr="004F37D2">
        <w:t xml:space="preserve"> This action will be financially devastating to our counterparties and will severely damage our reputation in the market. The short-term goal is not profit, but </w:t>
      </w:r>
      <w:r w:rsidRPr="004F37D2">
        <w:rPr>
          <w:b/>
          <w:bCs/>
        </w:rPr>
        <w:t>survival</w:t>
      </w:r>
      <w:r w:rsidRPr="004F37D2">
        <w:t xml:space="preserve">. By accepting the calculated execution loss of </w:t>
      </w:r>
      <w:r w:rsidRPr="004F37D2">
        <w:rPr>
          <w:b/>
          <w:bCs/>
        </w:rPr>
        <w:t>$500.5 Million</w:t>
      </w:r>
      <w:r w:rsidRPr="004F37D2">
        <w:t xml:space="preserve"> now, we mitigate the systemic, terminal loss predicted by the revised </w:t>
      </w:r>
      <m:oMath>
        <m:r>
          <m:rPr>
            <m:sty m:val="bi"/>
          </m:rPr>
          <w:rPr>
            <w:rFonts w:ascii="Cambria Math" w:hAnsi="Cambria Math"/>
          </w:rPr>
          <m:t>1</m:t>
        </m:r>
        <m:r>
          <w:rPr>
            <w:rFonts w:ascii="Cambria Math" w:hAnsi="Cambria Math"/>
          </w:rPr>
          <m:t>:</m:t>
        </m:r>
        <m:r>
          <m:rPr>
            <m:sty m:val="bi"/>
          </m:rPr>
          <w:rPr>
            <w:rFonts w:ascii="Cambria Math" w:hAnsi="Cambria Math"/>
          </w:rPr>
          <m:t>30</m:t>
        </m:r>
      </m:oMath>
      <w:r w:rsidRPr="004F37D2">
        <w:t xml:space="preserve"> Survival Cost Ratio. Failure </w:t>
      </w:r>
      <w:r w:rsidR="00CE2180" w:rsidRPr="004F37D2">
        <w:t>to carry out</w:t>
      </w:r>
      <w:r w:rsidRPr="004F37D2">
        <w:t xml:space="preserve"> this plan will result in the immediate and total collapse of the firm. There is no other option.</w:t>
      </w:r>
    </w:p>
    <w:p w14:paraId="4BEA95A9" w14:textId="77777777" w:rsidR="00B043B8" w:rsidRPr="003F001A" w:rsidRDefault="00B043B8" w:rsidP="003F001A"/>
    <w:p w14:paraId="6B45130A" w14:textId="77777777" w:rsidR="003F001A" w:rsidRPr="003F001A" w:rsidRDefault="003F001A" w:rsidP="003F001A">
      <w:pPr>
        <w:rPr>
          <w:b/>
          <w:bCs/>
        </w:rPr>
      </w:pPr>
      <w:r w:rsidRPr="003F001A">
        <w:rPr>
          <w:b/>
          <w:bCs/>
        </w:rPr>
        <w:t>IV. Technical Analysis and Computation</w:t>
      </w:r>
    </w:p>
    <w:p w14:paraId="53F850BB" w14:textId="4ECB5215" w:rsidR="003F001A" w:rsidRPr="003F001A" w:rsidRDefault="003F001A" w:rsidP="003F001A">
      <w:r w:rsidRPr="003F001A">
        <w:t xml:space="preserve">The following technical analysis provides </w:t>
      </w:r>
      <w:r w:rsidR="00CE2180" w:rsidRPr="003F001A">
        <w:t>computational</w:t>
      </w:r>
      <w:r w:rsidRPr="003F001A">
        <w:t xml:space="preserve"> backing for the market valuation, the TVaR revision, and the optimal execution strategy. All monetary figures are in Billions USD unless noted.</w:t>
      </w:r>
    </w:p>
    <w:p w14:paraId="783DF790" w14:textId="77777777" w:rsidR="003F001A" w:rsidRPr="003F001A" w:rsidRDefault="003F001A" w:rsidP="003F001A">
      <w:pPr>
        <w:rPr>
          <w:b/>
          <w:bCs/>
        </w:rPr>
      </w:pPr>
      <w:r w:rsidRPr="003F001A">
        <w:rPr>
          <w:b/>
          <w:bCs/>
        </w:rPr>
        <w:t>A. Initial Asset Valuation (Q1)</w:t>
      </w:r>
    </w:p>
    <w:p w14:paraId="7C4F4326" w14:textId="77777777" w:rsidR="003F001A" w:rsidRPr="003F001A" w:rsidRDefault="003F001A" w:rsidP="003F001A">
      <w:r w:rsidRPr="003F001A">
        <w:rPr>
          <w:b/>
          <w:bCs/>
        </w:rPr>
        <w:t>Methodology:</w:t>
      </w:r>
      <w:r w:rsidRPr="003F001A">
        <w:t xml:space="preserve"> The initial valuation uses the Discounted Cash Flow (DCF) method, relying on historical low default rates and the flawed assumption of low correlation between tranches.</w:t>
      </w:r>
    </w:p>
    <w:p w14:paraId="07D0021E" w14:textId="77777777" w:rsidR="003F001A" w:rsidRPr="003F001A" w:rsidRDefault="003F001A" w:rsidP="003F001A">
      <w:r w:rsidRPr="003F001A">
        <w:rPr>
          <w:b/>
          <w:bCs/>
        </w:rPr>
        <w:t>Calculation of Initial Market Value:</w:t>
      </w:r>
    </w:p>
    <w:p w14:paraId="51EDEF5F" w14:textId="058F1E89" w:rsidR="003F001A" w:rsidRPr="003F001A" w:rsidRDefault="00000000" w:rsidP="003F001A">
      <m:oMathPara>
        <m:oMath>
          <m:sSub>
            <m:sSubPr>
              <m:ctrlPr>
                <w:rPr>
                  <w:rFonts w:ascii="Cambria Math" w:hAnsi="Cambria Math"/>
                  <w:i/>
                </w:rPr>
              </m:ctrlPr>
            </m:sSubPr>
            <m:e>
              <m:r>
                <w:rPr>
                  <w:rFonts w:ascii="Cambria Math" w:hAnsi="Cambria Math"/>
                </w:rPr>
                <m:t>V</m:t>
              </m:r>
            </m:e>
            <m:sub>
              <m:r>
                <m:rPr>
                  <m:nor/>
                </m:rPr>
                <w:rPr>
                  <w:rFonts w:ascii="Cambria Math" w:hAnsi="Cambria Math"/>
                </w:rPr>
                <m:t>Total</m:t>
              </m:r>
            </m:sub>
          </m:sSub>
          <m:r>
            <w:rPr>
              <w:rFonts w:ascii="Cambria Math" w:hAnsi="Cambria Math"/>
            </w:rPr>
            <m:t>=</m:t>
          </m:r>
          <m:nary>
            <m:naryPr>
              <m:chr m:val="∑"/>
              <m:ctrlPr>
                <w:rPr>
                  <w:rFonts w:ascii="Cambria Math" w:hAnsi="Cambria Math"/>
                </w:rPr>
              </m:ctrlPr>
            </m:naryPr>
            <m:sub>
              <m:r>
                <w:rPr>
                  <w:rFonts w:ascii="Cambria Math" w:hAnsi="Cambria Math"/>
                </w:rPr>
                <m:t>i=</m:t>
              </m:r>
              <m:r>
                <m:rPr>
                  <m:nor/>
                </m:rPr>
                <w:rPr>
                  <w:rFonts w:ascii="Cambria Math" w:hAnsi="Cambria Math"/>
                </w:rPr>
                <m:t>Senior</m:t>
              </m:r>
              <m:ctrlPr>
                <w:rPr>
                  <w:rFonts w:ascii="Cambria Math" w:hAnsi="Cambria Math"/>
                  <w:i/>
                </w:rPr>
              </m:ctrlPr>
            </m:sub>
            <m:sup>
              <m:r>
                <m:rPr>
                  <m:nor/>
                </m:rPr>
                <w:rPr>
                  <w:rFonts w:ascii="Cambria Math" w:hAnsi="Cambria Math"/>
                </w:rPr>
                <m:t>Equity</m:t>
              </m:r>
              <m:ctrlPr>
                <w:rPr>
                  <w:rFonts w:ascii="Cambria Math" w:hAnsi="Cambria Math"/>
                  <w:i/>
                </w:rPr>
              </m:ctrlPr>
            </m:sup>
            <m:e>
              <m:d>
                <m:dPr>
                  <m:ctrlPr>
                    <w:rPr>
                      <w:rFonts w:ascii="Cambria Math" w:hAnsi="Cambria Math"/>
                      <w:i/>
                    </w:rPr>
                  </m:ctrlPr>
                </m:dPr>
                <m:e>
                  <m:sSub>
                    <m:sSubPr>
                      <m:ctrlPr>
                        <w:rPr>
                          <w:rFonts w:ascii="Cambria Math" w:hAnsi="Cambria Math"/>
                          <w:i/>
                        </w:rPr>
                      </m:ctrlPr>
                    </m:sSubPr>
                    <m:e>
                      <m:r>
                        <m:rPr>
                          <m:nor/>
                        </m:rPr>
                        <w:rPr>
                          <w:rFonts w:ascii="Cambria Math" w:hAnsi="Cambria Math"/>
                        </w:rPr>
                        <m:t>FV</m:t>
                      </m:r>
                    </m:e>
                    <m:sub>
                      <m:r>
                        <w:rPr>
                          <w:rFonts w:ascii="Cambria Math" w:hAnsi="Cambria Math"/>
                        </w:rPr>
                        <m:t>i</m:t>
                      </m:r>
                    </m:sub>
                  </m:sSub>
                  <m:r>
                    <m:rPr>
                      <m:sty m:val="p"/>
                    </m:rPr>
                    <w:rPr>
                      <w:rFonts w:ascii="Cambria Math" w:hAnsi="Cambria Math"/>
                    </w:rPr>
                    <m:t>×</m:t>
                  </m:r>
                  <m:sSub>
                    <m:sSubPr>
                      <m:ctrlPr>
                        <w:rPr>
                          <w:rFonts w:ascii="Cambria Math" w:hAnsi="Cambria Math"/>
                          <w:i/>
                        </w:rPr>
                      </m:ctrlPr>
                    </m:sSubPr>
                    <m:e>
                      <m:r>
                        <m:rPr>
                          <m:nor/>
                        </m:rPr>
                        <w:rPr>
                          <w:rFonts w:ascii="Cambria Math" w:hAnsi="Cambria Math"/>
                        </w:rPr>
                        <m:t>Price</m:t>
                      </m:r>
                      <m:ctrlPr>
                        <w:rPr>
                          <w:rFonts w:ascii="Cambria Math" w:hAnsi="Cambria Math"/>
                        </w:rPr>
                      </m:ctrlPr>
                    </m:e>
                    <m:sub>
                      <m:r>
                        <w:rPr>
                          <w:rFonts w:ascii="Cambria Math" w:hAnsi="Cambria Math"/>
                        </w:rPr>
                        <m:t>i</m:t>
                      </m:r>
                    </m:sub>
                  </m:sSub>
                </m:e>
              </m:d>
              <m:sSub>
                <m:sSubPr>
                  <m:ctrlPr>
                    <w:rPr>
                      <w:rFonts w:ascii="Cambria Math" w:hAnsi="Cambria Math"/>
                      <w:i/>
                    </w:rPr>
                  </m:ctrlPr>
                </m:sSubPr>
                <m:e>
                  <m:r>
                    <w:rPr>
                      <w:rFonts w:ascii="Cambria Math" w:hAnsi="Cambria Math"/>
                    </w:rPr>
                    <m:t>V</m:t>
                  </m:r>
                </m:e>
                <m:sub>
                  <m:r>
                    <m:rPr>
                      <m:nor/>
                    </m:rPr>
                    <w:rPr>
                      <w:rFonts w:ascii="Cambria Math" w:hAnsi="Cambria Math"/>
                    </w:rPr>
                    <m:t>Total</m:t>
                  </m:r>
                </m:sub>
              </m:sSub>
              <m:ctrlPr>
                <w:rPr>
                  <w:rFonts w:ascii="Cambria Math" w:hAnsi="Cambria Math"/>
                  <w:i/>
                </w:rPr>
              </m:ctrlPr>
            </m:e>
          </m:nary>
          <m:r>
            <w:rPr>
              <w:rFonts w:ascii="Cambria Math" w:hAnsi="Cambria Math"/>
            </w:rPr>
            <m:t>=</m:t>
          </m:r>
          <m:d>
            <m:dPr>
              <m:ctrlPr>
                <w:rPr>
                  <w:rFonts w:ascii="Cambria Math" w:hAnsi="Cambria Math"/>
                  <w:i/>
                </w:rPr>
              </m:ctrlPr>
            </m:dPr>
            <m:e>
              <m:r>
                <w:rPr>
                  <w:rFonts w:ascii="Cambria Math" w:hAnsi="Cambria Math"/>
                </w:rPr>
                <m:t>35</m:t>
              </m:r>
              <m:r>
                <m:rPr>
                  <m:nor/>
                </m:rPr>
                <w:rPr>
                  <w:rFonts w:ascii="Cambria Math" w:hAnsi="Cambria Math"/>
                </w:rPr>
                <m:t>B</m:t>
              </m:r>
              <m:r>
                <m:rPr>
                  <m:sty m:val="p"/>
                </m:rPr>
                <w:rPr>
                  <w:rFonts w:ascii="Cambria Math" w:hAnsi="Cambria Math"/>
                </w:rPr>
                <m:t>×</m:t>
              </m:r>
              <m:r>
                <w:rPr>
                  <w:rFonts w:ascii="Cambria Math" w:hAnsi="Cambria Math"/>
                </w:rPr>
                <m:t>0.98</m:t>
              </m:r>
            </m:e>
          </m:d>
          <m:r>
            <w:rPr>
              <w:rFonts w:ascii="Cambria Math" w:hAnsi="Cambria Math"/>
            </w:rPr>
            <m:t>+</m:t>
          </m:r>
          <m:d>
            <m:dPr>
              <m:ctrlPr>
                <w:rPr>
                  <w:rFonts w:ascii="Cambria Math" w:hAnsi="Cambria Math"/>
                  <w:i/>
                </w:rPr>
              </m:ctrlPr>
            </m:dPr>
            <m:e>
              <m:r>
                <w:rPr>
                  <w:rFonts w:ascii="Cambria Math" w:hAnsi="Cambria Math"/>
                </w:rPr>
                <m:t>10</m:t>
              </m:r>
              <m:r>
                <m:rPr>
                  <m:nor/>
                </m:rPr>
                <w:rPr>
                  <w:rFonts w:ascii="Cambria Math" w:hAnsi="Cambria Math"/>
                </w:rPr>
                <m:t>B</m:t>
              </m:r>
              <m:r>
                <m:rPr>
                  <m:sty m:val="p"/>
                </m:rPr>
                <w:rPr>
                  <w:rFonts w:ascii="Cambria Math" w:hAnsi="Cambria Math"/>
                </w:rPr>
                <m:t>×</m:t>
              </m:r>
              <m:r>
                <w:rPr>
                  <w:rFonts w:ascii="Cambria Math" w:hAnsi="Cambria Math"/>
                </w:rPr>
                <m:t>0.90</m:t>
              </m:r>
            </m:e>
          </m:d>
          <m:r>
            <w:rPr>
              <w:rFonts w:ascii="Cambria Math" w:hAnsi="Cambria Math"/>
            </w:rPr>
            <m:t>+</m:t>
          </m:r>
          <m:d>
            <m:dPr>
              <m:ctrlPr>
                <w:rPr>
                  <w:rFonts w:ascii="Cambria Math" w:hAnsi="Cambria Math"/>
                  <w:i/>
                </w:rPr>
              </m:ctrlPr>
            </m:dPr>
            <m:e>
              <m:r>
                <w:rPr>
                  <w:rFonts w:ascii="Cambria Math" w:hAnsi="Cambria Math"/>
                </w:rPr>
                <m:t>5</m:t>
              </m:r>
              <m:r>
                <m:rPr>
                  <m:nor/>
                </m:rPr>
                <w:rPr>
                  <w:rFonts w:ascii="Cambria Math" w:hAnsi="Cambria Math"/>
                </w:rPr>
                <m:t>B</m:t>
              </m:r>
              <m:r>
                <m:rPr>
                  <m:sty m:val="p"/>
                </m:rPr>
                <w:rPr>
                  <w:rFonts w:ascii="Cambria Math" w:hAnsi="Cambria Math"/>
                </w:rPr>
                <m:t>×</m:t>
              </m:r>
              <m:r>
                <w:rPr>
                  <w:rFonts w:ascii="Cambria Math" w:hAnsi="Cambria Math"/>
                </w:rPr>
                <m:t>0.70</m:t>
              </m:r>
            </m:e>
          </m:d>
          <m:sSub>
            <m:sSubPr>
              <m:ctrlPr>
                <w:rPr>
                  <w:rFonts w:ascii="Cambria Math" w:hAnsi="Cambria Math"/>
                  <w:i/>
                </w:rPr>
              </m:ctrlPr>
            </m:sSubPr>
            <m:e>
              <m:r>
                <w:rPr>
                  <w:rFonts w:ascii="Cambria Math" w:hAnsi="Cambria Math"/>
                </w:rPr>
                <m:t>V</m:t>
              </m:r>
            </m:e>
            <m:sub>
              <m:r>
                <m:rPr>
                  <m:nor/>
                </m:rPr>
                <w:rPr>
                  <w:rFonts w:ascii="Cambria Math" w:hAnsi="Cambria Math"/>
                </w:rPr>
                <m:t>Total</m:t>
              </m:r>
            </m:sub>
          </m:sSub>
          <m:r>
            <w:rPr>
              <w:rFonts w:ascii="Cambria Math" w:hAnsi="Cambria Math"/>
            </w:rPr>
            <m:t>=34.3</m:t>
          </m:r>
          <m:r>
            <m:rPr>
              <m:nor/>
            </m:rPr>
            <w:rPr>
              <w:rFonts w:ascii="Cambria Math" w:hAnsi="Cambria Math"/>
            </w:rPr>
            <m:t>B</m:t>
          </m:r>
          <m:r>
            <w:rPr>
              <w:rFonts w:ascii="Cambria Math" w:hAnsi="Cambria Math"/>
            </w:rPr>
            <m:t>+9.0</m:t>
          </m:r>
          <m:r>
            <m:rPr>
              <m:nor/>
            </m:rPr>
            <w:rPr>
              <w:rFonts w:ascii="Cambria Math" w:hAnsi="Cambria Math"/>
            </w:rPr>
            <m:t>B</m:t>
          </m:r>
          <m:r>
            <w:rPr>
              <w:rFonts w:ascii="Cambria Math" w:hAnsi="Cambria Math"/>
            </w:rPr>
            <m:t>+3.5</m:t>
          </m:r>
          <m:r>
            <m:rPr>
              <m:nor/>
            </m:rPr>
            <w:rPr>
              <w:rFonts w:ascii="Cambria Math" w:hAnsi="Cambria Math"/>
            </w:rPr>
            <m:t>B</m:t>
          </m:r>
          <m:r>
            <w:rPr>
              <w:rFonts w:ascii="Cambria Math" w:hAnsi="Cambria Math"/>
            </w:rPr>
            <m:t>=46.80</m:t>
          </m:r>
          <m:r>
            <m:rPr>
              <m:nor/>
            </m:rPr>
            <w:rPr>
              <w:rFonts w:ascii="Cambria Math" w:hAnsi="Cambria Math"/>
            </w:rPr>
            <m:t xml:space="preserve"> Bli</m:t>
          </m:r>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3"/>
        <w:gridCol w:w="1713"/>
        <w:gridCol w:w="1688"/>
        <w:gridCol w:w="2171"/>
      </w:tblGrid>
      <w:tr w:rsidR="003F001A" w:rsidRPr="003F001A" w14:paraId="4970BE23" w14:textId="77777777">
        <w:trPr>
          <w:tblCellSpacing w:w="15" w:type="dxa"/>
        </w:trPr>
        <w:tc>
          <w:tcPr>
            <w:tcW w:w="0" w:type="auto"/>
            <w:vAlign w:val="center"/>
            <w:hideMark/>
          </w:tcPr>
          <w:p w14:paraId="3004EB60" w14:textId="77777777" w:rsidR="003F001A" w:rsidRPr="003F001A" w:rsidRDefault="003F001A" w:rsidP="003F001A">
            <w:pPr>
              <w:rPr>
                <w:b/>
                <w:bCs/>
              </w:rPr>
            </w:pPr>
            <w:r w:rsidRPr="003F001A">
              <w:rPr>
                <w:b/>
                <w:bCs/>
              </w:rPr>
              <w:t>Tranche</w:t>
            </w:r>
          </w:p>
        </w:tc>
        <w:tc>
          <w:tcPr>
            <w:tcW w:w="0" w:type="auto"/>
            <w:vAlign w:val="center"/>
            <w:hideMark/>
          </w:tcPr>
          <w:p w14:paraId="47C68FE0" w14:textId="77777777" w:rsidR="003F001A" w:rsidRPr="003F001A" w:rsidRDefault="003F001A" w:rsidP="003F001A">
            <w:pPr>
              <w:rPr>
                <w:b/>
                <w:bCs/>
              </w:rPr>
            </w:pPr>
            <w:r w:rsidRPr="003F001A">
              <w:rPr>
                <w:b/>
                <w:bCs/>
              </w:rPr>
              <w:t>Face Value (FV)</w:t>
            </w:r>
          </w:p>
        </w:tc>
        <w:tc>
          <w:tcPr>
            <w:tcW w:w="0" w:type="auto"/>
            <w:vAlign w:val="center"/>
            <w:hideMark/>
          </w:tcPr>
          <w:p w14:paraId="278A6196" w14:textId="77777777" w:rsidR="003F001A" w:rsidRPr="003F001A" w:rsidRDefault="003F001A" w:rsidP="003F001A">
            <w:pPr>
              <w:rPr>
                <w:b/>
                <w:bCs/>
              </w:rPr>
            </w:pPr>
            <w:r w:rsidRPr="003F001A">
              <w:rPr>
                <w:b/>
                <w:bCs/>
              </w:rPr>
              <w:t>Initial Price (%)</w:t>
            </w:r>
          </w:p>
        </w:tc>
        <w:tc>
          <w:tcPr>
            <w:tcW w:w="0" w:type="auto"/>
            <w:vAlign w:val="center"/>
            <w:hideMark/>
          </w:tcPr>
          <w:p w14:paraId="02CE8FD6" w14:textId="77777777" w:rsidR="003F001A" w:rsidRPr="003F001A" w:rsidRDefault="003F001A" w:rsidP="003F001A">
            <w:pPr>
              <w:rPr>
                <w:b/>
                <w:bCs/>
              </w:rPr>
            </w:pPr>
            <w:r w:rsidRPr="003F001A">
              <w:rPr>
                <w:b/>
                <w:bCs/>
              </w:rPr>
              <w:t>Initial Market Value</w:t>
            </w:r>
          </w:p>
        </w:tc>
      </w:tr>
      <w:tr w:rsidR="003F001A" w:rsidRPr="003F001A" w14:paraId="5C2274B5" w14:textId="77777777">
        <w:trPr>
          <w:tblCellSpacing w:w="15" w:type="dxa"/>
        </w:trPr>
        <w:tc>
          <w:tcPr>
            <w:tcW w:w="0" w:type="auto"/>
            <w:vAlign w:val="center"/>
            <w:hideMark/>
          </w:tcPr>
          <w:p w14:paraId="053B23CE" w14:textId="77777777" w:rsidR="003F001A" w:rsidRPr="003F001A" w:rsidRDefault="003F001A" w:rsidP="003F001A">
            <w:r w:rsidRPr="003F001A">
              <w:t>Senior</w:t>
            </w:r>
          </w:p>
        </w:tc>
        <w:tc>
          <w:tcPr>
            <w:tcW w:w="0" w:type="auto"/>
            <w:vAlign w:val="center"/>
            <w:hideMark/>
          </w:tcPr>
          <w:p w14:paraId="48D94D35" w14:textId="77777777" w:rsidR="003F001A" w:rsidRPr="003F001A" w:rsidRDefault="003F001A" w:rsidP="003F001A">
            <w:r w:rsidRPr="003F001A">
              <w:t>$35.00</w:t>
            </w:r>
          </w:p>
        </w:tc>
        <w:tc>
          <w:tcPr>
            <w:tcW w:w="0" w:type="auto"/>
            <w:vAlign w:val="center"/>
            <w:hideMark/>
          </w:tcPr>
          <w:p w14:paraId="5373CD02" w14:textId="77777777" w:rsidR="003F001A" w:rsidRPr="003F001A" w:rsidRDefault="003F001A" w:rsidP="003F001A">
            <w:r w:rsidRPr="003F001A">
              <w:t>98.00%</w:t>
            </w:r>
          </w:p>
        </w:tc>
        <w:tc>
          <w:tcPr>
            <w:tcW w:w="0" w:type="auto"/>
            <w:vAlign w:val="center"/>
            <w:hideMark/>
          </w:tcPr>
          <w:p w14:paraId="1C8CAF01" w14:textId="77777777" w:rsidR="003F001A" w:rsidRPr="003F001A" w:rsidRDefault="003F001A" w:rsidP="003F001A">
            <w:r w:rsidRPr="003F001A">
              <w:t>$34.30</w:t>
            </w:r>
          </w:p>
        </w:tc>
      </w:tr>
      <w:tr w:rsidR="003F001A" w:rsidRPr="003F001A" w14:paraId="343C0D3A" w14:textId="77777777">
        <w:trPr>
          <w:tblCellSpacing w:w="15" w:type="dxa"/>
        </w:trPr>
        <w:tc>
          <w:tcPr>
            <w:tcW w:w="0" w:type="auto"/>
            <w:vAlign w:val="center"/>
            <w:hideMark/>
          </w:tcPr>
          <w:p w14:paraId="30E41833" w14:textId="77777777" w:rsidR="003F001A" w:rsidRPr="003F001A" w:rsidRDefault="003F001A" w:rsidP="003F001A">
            <w:r w:rsidRPr="003F001A">
              <w:t>Mezzanine</w:t>
            </w:r>
          </w:p>
        </w:tc>
        <w:tc>
          <w:tcPr>
            <w:tcW w:w="0" w:type="auto"/>
            <w:vAlign w:val="center"/>
            <w:hideMark/>
          </w:tcPr>
          <w:p w14:paraId="39812B34" w14:textId="77777777" w:rsidR="003F001A" w:rsidRPr="003F001A" w:rsidRDefault="003F001A" w:rsidP="003F001A">
            <w:r w:rsidRPr="003F001A">
              <w:t>$10.00</w:t>
            </w:r>
          </w:p>
        </w:tc>
        <w:tc>
          <w:tcPr>
            <w:tcW w:w="0" w:type="auto"/>
            <w:vAlign w:val="center"/>
            <w:hideMark/>
          </w:tcPr>
          <w:p w14:paraId="2B633917" w14:textId="77777777" w:rsidR="003F001A" w:rsidRPr="003F001A" w:rsidRDefault="003F001A" w:rsidP="003F001A">
            <w:r w:rsidRPr="003F001A">
              <w:t>90.00%</w:t>
            </w:r>
          </w:p>
        </w:tc>
        <w:tc>
          <w:tcPr>
            <w:tcW w:w="0" w:type="auto"/>
            <w:vAlign w:val="center"/>
            <w:hideMark/>
          </w:tcPr>
          <w:p w14:paraId="189200F9" w14:textId="77777777" w:rsidR="003F001A" w:rsidRPr="003F001A" w:rsidRDefault="003F001A" w:rsidP="003F001A">
            <w:r w:rsidRPr="003F001A">
              <w:t>$9.00</w:t>
            </w:r>
          </w:p>
        </w:tc>
      </w:tr>
      <w:tr w:rsidR="003F001A" w:rsidRPr="003F001A" w14:paraId="270FEF8F" w14:textId="77777777">
        <w:trPr>
          <w:tblCellSpacing w:w="15" w:type="dxa"/>
        </w:trPr>
        <w:tc>
          <w:tcPr>
            <w:tcW w:w="0" w:type="auto"/>
            <w:vAlign w:val="center"/>
            <w:hideMark/>
          </w:tcPr>
          <w:p w14:paraId="7ED42975" w14:textId="77777777" w:rsidR="003F001A" w:rsidRPr="003F001A" w:rsidRDefault="003F001A" w:rsidP="003F001A">
            <w:r w:rsidRPr="003F001A">
              <w:t>Equity</w:t>
            </w:r>
          </w:p>
        </w:tc>
        <w:tc>
          <w:tcPr>
            <w:tcW w:w="0" w:type="auto"/>
            <w:vAlign w:val="center"/>
            <w:hideMark/>
          </w:tcPr>
          <w:p w14:paraId="2C4760F8" w14:textId="77777777" w:rsidR="003F001A" w:rsidRPr="003F001A" w:rsidRDefault="003F001A" w:rsidP="003F001A">
            <w:r w:rsidRPr="003F001A">
              <w:t>$5.00</w:t>
            </w:r>
          </w:p>
        </w:tc>
        <w:tc>
          <w:tcPr>
            <w:tcW w:w="0" w:type="auto"/>
            <w:vAlign w:val="center"/>
            <w:hideMark/>
          </w:tcPr>
          <w:p w14:paraId="495FE07C" w14:textId="77777777" w:rsidR="003F001A" w:rsidRPr="003F001A" w:rsidRDefault="003F001A" w:rsidP="003F001A">
            <w:r w:rsidRPr="003F001A">
              <w:t>70.00%</w:t>
            </w:r>
          </w:p>
        </w:tc>
        <w:tc>
          <w:tcPr>
            <w:tcW w:w="0" w:type="auto"/>
            <w:vAlign w:val="center"/>
            <w:hideMark/>
          </w:tcPr>
          <w:p w14:paraId="7E33DF71" w14:textId="77777777" w:rsidR="003F001A" w:rsidRPr="003F001A" w:rsidRDefault="003F001A" w:rsidP="003F001A">
            <w:r w:rsidRPr="003F001A">
              <w:t>$3.50</w:t>
            </w:r>
          </w:p>
        </w:tc>
      </w:tr>
      <w:tr w:rsidR="003F001A" w:rsidRPr="003F001A" w14:paraId="3E7465EB" w14:textId="77777777">
        <w:trPr>
          <w:tblCellSpacing w:w="15" w:type="dxa"/>
        </w:trPr>
        <w:tc>
          <w:tcPr>
            <w:tcW w:w="0" w:type="auto"/>
            <w:vAlign w:val="center"/>
            <w:hideMark/>
          </w:tcPr>
          <w:p w14:paraId="2965FE04" w14:textId="77777777" w:rsidR="003F001A" w:rsidRPr="003F001A" w:rsidRDefault="003F001A" w:rsidP="003F001A">
            <w:r w:rsidRPr="003F001A">
              <w:rPr>
                <w:b/>
                <w:bCs/>
              </w:rPr>
              <w:lastRenderedPageBreak/>
              <w:t>TOTAL</w:t>
            </w:r>
          </w:p>
        </w:tc>
        <w:tc>
          <w:tcPr>
            <w:tcW w:w="0" w:type="auto"/>
            <w:vAlign w:val="center"/>
            <w:hideMark/>
          </w:tcPr>
          <w:p w14:paraId="48CEBAB7" w14:textId="77777777" w:rsidR="003F001A" w:rsidRPr="003F001A" w:rsidRDefault="003F001A" w:rsidP="003F001A">
            <w:r w:rsidRPr="003F001A">
              <w:rPr>
                <w:b/>
                <w:bCs/>
              </w:rPr>
              <w:t>$50.00</w:t>
            </w:r>
          </w:p>
        </w:tc>
        <w:tc>
          <w:tcPr>
            <w:tcW w:w="0" w:type="auto"/>
            <w:vAlign w:val="center"/>
            <w:hideMark/>
          </w:tcPr>
          <w:p w14:paraId="3DDDE176" w14:textId="77777777" w:rsidR="003F001A" w:rsidRPr="003F001A" w:rsidRDefault="003F001A" w:rsidP="003F001A">
            <w:r w:rsidRPr="003F001A">
              <w:t>-</w:t>
            </w:r>
          </w:p>
        </w:tc>
        <w:tc>
          <w:tcPr>
            <w:tcW w:w="0" w:type="auto"/>
            <w:vAlign w:val="center"/>
            <w:hideMark/>
          </w:tcPr>
          <w:p w14:paraId="041F43B0" w14:textId="77777777" w:rsidR="003F001A" w:rsidRPr="003F001A" w:rsidRDefault="003F001A" w:rsidP="003F001A">
            <w:r w:rsidRPr="003F001A">
              <w:rPr>
                <w:b/>
                <w:bCs/>
              </w:rPr>
              <w:t>$46.80</w:t>
            </w:r>
          </w:p>
        </w:tc>
      </w:tr>
    </w:tbl>
    <w:p w14:paraId="1276BDF1" w14:textId="559ECDF7" w:rsidR="003F001A" w:rsidRPr="003F001A" w:rsidRDefault="003F001A" w:rsidP="003F001A">
      <w:r w:rsidRPr="003F001A">
        <w:t xml:space="preserve">The total initial market value of the portfolio is $46.80 </w:t>
      </w:r>
      <w:r w:rsidRPr="003F001A">
        <w:rPr>
          <w:b/>
          <w:bCs/>
        </w:rPr>
        <w:t>Billion</w:t>
      </w:r>
      <w:r w:rsidRPr="003F001A">
        <w:t>.</w:t>
      </w:r>
    </w:p>
    <w:p w14:paraId="70618AA8" w14:textId="77777777" w:rsidR="003F001A" w:rsidRPr="003F001A" w:rsidRDefault="003F001A" w:rsidP="003F001A">
      <w:pPr>
        <w:rPr>
          <w:b/>
          <w:bCs/>
        </w:rPr>
      </w:pPr>
      <w:r w:rsidRPr="003F001A">
        <w:rPr>
          <w:b/>
          <w:bCs/>
        </w:rPr>
        <w:t>B. TVaR Calculation and Revision (Q2)</w:t>
      </w:r>
    </w:p>
    <w:p w14:paraId="69115381" w14:textId="3EF9977B" w:rsidR="003F001A" w:rsidRPr="003F001A" w:rsidRDefault="003F001A" w:rsidP="003F001A">
      <w:r w:rsidRPr="003F001A">
        <w:rPr>
          <w:b/>
          <w:bCs/>
        </w:rPr>
        <w:t>Metric Definition:</w:t>
      </w:r>
      <w:r w:rsidRPr="003F001A">
        <w:t xml:space="preserve"> Tail Value-at-Risk (TVaR) at the 99.9% confidence level is the average expected loss, given that the loss exceeds the VaR threshold.</w:t>
      </w:r>
    </w:p>
    <w:p w14:paraId="58BD5B19" w14:textId="7F1A9D5D" w:rsidR="003F001A" w:rsidRPr="003F001A" w:rsidRDefault="003F001A" w:rsidP="003F001A">
      <w:r w:rsidRPr="003F001A">
        <w:rPr>
          <w:b/>
          <w:bCs/>
        </w:rPr>
        <w:t>Model Simulation:</w:t>
      </w:r>
      <w:r w:rsidRPr="003F001A">
        <w:t xml:space="preserve"> We use a Monte Carlo simulation approach where portfolio volatility is artificially inflated by the correlation parameter </w:t>
      </w:r>
      <m:oMath>
        <m:r>
          <w:rPr>
            <w:rFonts w:ascii="Cambria Math" w:hAnsi="Cambria Math"/>
          </w:rPr>
          <m:t>(</m:t>
        </m:r>
        <m:r>
          <m:rPr>
            <m:sty m:val="p"/>
          </m:rPr>
          <w:rPr>
            <w:rFonts w:ascii="Cambria Math" w:hAnsi="Cambria Math"/>
          </w:rPr>
          <m:t>ρ</m:t>
        </m:r>
        <m:r>
          <w:rPr>
            <w:rFonts w:ascii="Cambria Math" w:hAnsi="Cambria Math"/>
          </w:rPr>
          <m:t>)</m:t>
        </m:r>
      </m:oMath>
      <w:r w:rsidRPr="003F001A">
        <w:t xml:space="preserve"> to illustrate the shift in the loss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7"/>
        <w:gridCol w:w="1755"/>
        <w:gridCol w:w="1670"/>
        <w:gridCol w:w="2081"/>
        <w:gridCol w:w="1197"/>
      </w:tblGrid>
      <w:tr w:rsidR="008F317D" w:rsidRPr="003F001A" w14:paraId="43990226" w14:textId="77777777">
        <w:trPr>
          <w:tblCellSpacing w:w="15" w:type="dxa"/>
        </w:trPr>
        <w:tc>
          <w:tcPr>
            <w:tcW w:w="0" w:type="auto"/>
            <w:vAlign w:val="center"/>
            <w:hideMark/>
          </w:tcPr>
          <w:p w14:paraId="735CA2C0" w14:textId="77777777" w:rsidR="003F001A" w:rsidRPr="003F001A" w:rsidRDefault="003F001A" w:rsidP="003F001A">
            <w:pPr>
              <w:rPr>
                <w:b/>
                <w:bCs/>
              </w:rPr>
            </w:pPr>
            <w:r w:rsidRPr="003F001A">
              <w:rPr>
                <w:b/>
                <w:bCs/>
              </w:rPr>
              <w:t>Scenario</w:t>
            </w:r>
          </w:p>
        </w:tc>
        <w:tc>
          <w:tcPr>
            <w:tcW w:w="0" w:type="auto"/>
            <w:vAlign w:val="center"/>
            <w:hideMark/>
          </w:tcPr>
          <w:p w14:paraId="43DC8354" w14:textId="3266F1A4" w:rsidR="003F001A" w:rsidRPr="003F001A" w:rsidRDefault="003F001A" w:rsidP="003F001A">
            <w:pPr>
              <w:rPr>
                <w:b/>
                <w:bCs/>
              </w:rPr>
            </w:pPr>
            <w:r w:rsidRPr="003F001A">
              <w:rPr>
                <w:b/>
                <w:bCs/>
              </w:rPr>
              <w:t xml:space="preserve">Default Rate </w:t>
            </w:r>
            <m:oMath>
              <m:d>
                <m:dPr>
                  <m:ctrlPr>
                    <w:rPr>
                      <w:rFonts w:ascii="Cambria Math" w:hAnsi="Cambria Math"/>
                      <w:b/>
                      <w:bCs/>
                      <w:i/>
                    </w:rPr>
                  </m:ctrlPr>
                </m:dPr>
                <m:e>
                  <m:r>
                    <m:rPr>
                      <m:sty m:val="bi"/>
                    </m:rPr>
                    <w:rPr>
                      <w:rFonts w:ascii="Cambria Math" w:hAnsi="Cambria Math"/>
                    </w:rPr>
                    <m:t>p</m:t>
                  </m:r>
                </m:e>
              </m:d>
            </m:oMath>
          </w:p>
        </w:tc>
        <w:tc>
          <w:tcPr>
            <w:tcW w:w="0" w:type="auto"/>
            <w:vAlign w:val="center"/>
            <w:hideMark/>
          </w:tcPr>
          <w:p w14:paraId="7DA716C9" w14:textId="3102477E" w:rsidR="003F001A" w:rsidRPr="003F001A" w:rsidRDefault="003F001A" w:rsidP="003F001A">
            <w:pPr>
              <w:rPr>
                <w:b/>
                <w:bCs/>
              </w:rPr>
            </w:pPr>
            <w:r w:rsidRPr="003F001A">
              <w:rPr>
                <w:b/>
                <w:bCs/>
              </w:rPr>
              <w:t xml:space="preserve">Correlation </w:t>
            </w:r>
            <m:oMath>
              <m:d>
                <m:dPr>
                  <m:ctrlPr>
                    <w:rPr>
                      <w:rFonts w:ascii="Cambria Math" w:hAnsi="Cambria Math"/>
                      <w:b/>
                      <w:bCs/>
                      <w:i/>
                    </w:rPr>
                  </m:ctrlPr>
                </m:dPr>
                <m:e>
                  <m:r>
                    <m:rPr>
                      <m:sty m:val="b"/>
                    </m:rPr>
                    <w:rPr>
                      <w:rFonts w:ascii="Cambria Math" w:hAnsi="Cambria Math"/>
                    </w:rPr>
                    <m:t>ρ</m:t>
                  </m:r>
                </m:e>
              </m:d>
            </m:oMath>
          </w:p>
        </w:tc>
        <w:tc>
          <w:tcPr>
            <w:tcW w:w="0" w:type="auto"/>
            <w:vAlign w:val="center"/>
            <w:hideMark/>
          </w:tcPr>
          <w:p w14:paraId="0E222518" w14:textId="3F801CB3" w:rsidR="003F001A" w:rsidRPr="003F001A" w:rsidRDefault="003F001A" w:rsidP="003F001A">
            <w:pPr>
              <w:rPr>
                <w:b/>
                <w:bCs/>
              </w:rPr>
            </w:pPr>
            <w:r w:rsidRPr="003F001A">
              <w:rPr>
                <w:b/>
                <w:bCs/>
              </w:rPr>
              <w:t xml:space="preserve">Loss Volatility </w:t>
            </w:r>
            <m:oMath>
              <m:d>
                <m:dPr>
                  <m:ctrlPr>
                    <w:rPr>
                      <w:rFonts w:ascii="Cambria Math" w:hAnsi="Cambria Math"/>
                      <w:b/>
                      <w:bCs/>
                      <w:i/>
                    </w:rPr>
                  </m:ctrlPr>
                </m:dPr>
                <m:e>
                  <m:sSub>
                    <m:sSubPr>
                      <m:ctrlPr>
                        <w:rPr>
                          <w:rFonts w:ascii="Cambria Math" w:hAnsi="Cambria Math"/>
                          <w:b/>
                          <w:bCs/>
                          <w:i/>
                        </w:rPr>
                      </m:ctrlPr>
                    </m:sSubPr>
                    <m:e>
                      <m:r>
                        <m:rPr>
                          <m:sty m:val="b"/>
                        </m:rPr>
                        <w:rPr>
                          <w:rFonts w:ascii="Cambria Math" w:hAnsi="Cambria Math"/>
                        </w:rPr>
                        <m:t>σ</m:t>
                      </m:r>
                    </m:e>
                    <m:sub>
                      <m:r>
                        <m:rPr>
                          <m:nor/>
                        </m:rPr>
                        <w:rPr>
                          <w:rFonts w:ascii="Cambria Math" w:hAnsi="Cambria Math"/>
                          <w:b/>
                          <w:bCs/>
                        </w:rPr>
                        <m:t>Ls</m:t>
                      </m:r>
                    </m:sub>
                  </m:sSub>
                </m:e>
              </m:d>
            </m:oMath>
          </w:p>
        </w:tc>
        <w:tc>
          <w:tcPr>
            <w:tcW w:w="0" w:type="auto"/>
            <w:vAlign w:val="center"/>
            <w:hideMark/>
          </w:tcPr>
          <w:p w14:paraId="4EF5B7CD" w14:textId="77777777" w:rsidR="003F001A" w:rsidRPr="003F001A" w:rsidRDefault="003F001A" w:rsidP="003F001A">
            <w:pPr>
              <w:rPr>
                <w:b/>
                <w:bCs/>
              </w:rPr>
            </w:pPr>
            <w:r w:rsidRPr="003F001A">
              <w:rPr>
                <w:b/>
                <w:bCs/>
              </w:rPr>
              <w:t>Mean Loss</w:t>
            </w:r>
          </w:p>
        </w:tc>
      </w:tr>
      <w:tr w:rsidR="008F317D" w:rsidRPr="003F001A" w14:paraId="28127E0C" w14:textId="77777777">
        <w:trPr>
          <w:tblCellSpacing w:w="15" w:type="dxa"/>
        </w:trPr>
        <w:tc>
          <w:tcPr>
            <w:tcW w:w="0" w:type="auto"/>
            <w:vAlign w:val="center"/>
            <w:hideMark/>
          </w:tcPr>
          <w:p w14:paraId="5FF43B01" w14:textId="77777777" w:rsidR="003F001A" w:rsidRPr="003F001A" w:rsidRDefault="003F001A" w:rsidP="003F001A">
            <w:r w:rsidRPr="003F001A">
              <w:rPr>
                <w:b/>
                <w:bCs/>
              </w:rPr>
              <w:t>1 (Initial Flawed)</w:t>
            </w:r>
          </w:p>
        </w:tc>
        <w:tc>
          <w:tcPr>
            <w:tcW w:w="0" w:type="auto"/>
            <w:vAlign w:val="center"/>
            <w:hideMark/>
          </w:tcPr>
          <w:p w14:paraId="37886EFA" w14:textId="77777777" w:rsidR="003F001A" w:rsidRPr="003F001A" w:rsidRDefault="003F001A" w:rsidP="003F001A">
            <w:r w:rsidRPr="003F001A">
              <w:t>2.0%</w:t>
            </w:r>
          </w:p>
        </w:tc>
        <w:tc>
          <w:tcPr>
            <w:tcW w:w="0" w:type="auto"/>
            <w:vAlign w:val="center"/>
            <w:hideMark/>
          </w:tcPr>
          <w:p w14:paraId="08164FF4" w14:textId="77777777" w:rsidR="003F001A" w:rsidRPr="003F001A" w:rsidRDefault="003F001A" w:rsidP="003F001A">
            <w:r w:rsidRPr="003F001A">
              <w:t>0.05 (Low)</w:t>
            </w:r>
          </w:p>
        </w:tc>
        <w:tc>
          <w:tcPr>
            <w:tcW w:w="0" w:type="auto"/>
            <w:vAlign w:val="center"/>
            <w:hideMark/>
          </w:tcPr>
          <w:p w14:paraId="5B060307" w14:textId="3C6E22F6" w:rsidR="003F001A" w:rsidRPr="003F001A" w:rsidRDefault="008F317D" w:rsidP="003F001A">
            <m:oMathPara>
              <m:oMath>
                <m:r>
                  <w:rPr>
                    <w:rFonts w:ascii="Cambria Math" w:hAnsi="Cambria Math"/>
                  </w:rPr>
                  <m:t>5.00</m:t>
                </m:r>
                <m:r>
                  <m:rPr>
                    <m:nor/>
                  </m:rPr>
                  <w:rPr>
                    <w:rFonts w:ascii="Cambria Math" w:hAnsi="Cambria Math"/>
                  </w:rPr>
                  <m:t xml:space="preserve"> B</m:t>
                </m:r>
              </m:oMath>
            </m:oMathPara>
          </w:p>
        </w:tc>
        <w:tc>
          <w:tcPr>
            <w:tcW w:w="0" w:type="auto"/>
            <w:vAlign w:val="center"/>
            <w:hideMark/>
          </w:tcPr>
          <w:p w14:paraId="10AF1703" w14:textId="1DCDEC71" w:rsidR="003F001A" w:rsidRPr="003F001A" w:rsidRDefault="008F317D" w:rsidP="003F001A">
            <m:oMathPara>
              <m:oMath>
                <m:r>
                  <w:rPr>
                    <w:rFonts w:ascii="Cambria Math" w:hAnsi="Cambria Math"/>
                  </w:rPr>
                  <m:t>1.00</m:t>
                </m:r>
                <m:r>
                  <m:rPr>
                    <m:nor/>
                  </m:rPr>
                  <w:rPr>
                    <w:rFonts w:ascii="Cambria Math" w:hAnsi="Cambria Math"/>
                  </w:rPr>
                  <m:t xml:space="preserve"> B</m:t>
                </m:r>
              </m:oMath>
            </m:oMathPara>
          </w:p>
        </w:tc>
      </w:tr>
      <w:tr w:rsidR="008F317D" w:rsidRPr="003F001A" w14:paraId="626D3825" w14:textId="77777777">
        <w:trPr>
          <w:tblCellSpacing w:w="15" w:type="dxa"/>
        </w:trPr>
        <w:tc>
          <w:tcPr>
            <w:tcW w:w="0" w:type="auto"/>
            <w:vAlign w:val="center"/>
            <w:hideMark/>
          </w:tcPr>
          <w:p w14:paraId="687A4F6C" w14:textId="77777777" w:rsidR="003F001A" w:rsidRPr="003F001A" w:rsidRDefault="003F001A" w:rsidP="003F001A">
            <w:r w:rsidRPr="003F001A">
              <w:rPr>
                <w:b/>
                <w:bCs/>
              </w:rPr>
              <w:t>2 (Revised Catastrophic)</w:t>
            </w:r>
          </w:p>
        </w:tc>
        <w:tc>
          <w:tcPr>
            <w:tcW w:w="0" w:type="auto"/>
            <w:vAlign w:val="center"/>
            <w:hideMark/>
          </w:tcPr>
          <w:p w14:paraId="3745E3DC" w14:textId="77777777" w:rsidR="003F001A" w:rsidRPr="003F001A" w:rsidRDefault="003F001A" w:rsidP="003F001A">
            <w:r w:rsidRPr="003F001A">
              <w:t>4.0%</w:t>
            </w:r>
          </w:p>
        </w:tc>
        <w:tc>
          <w:tcPr>
            <w:tcW w:w="0" w:type="auto"/>
            <w:vAlign w:val="center"/>
            <w:hideMark/>
          </w:tcPr>
          <w:p w14:paraId="0F4351E8" w14:textId="77777777" w:rsidR="003F001A" w:rsidRPr="003F001A" w:rsidRDefault="003F001A" w:rsidP="003F001A">
            <w:r w:rsidRPr="003F001A">
              <w:t>0.80 (High)</w:t>
            </w:r>
          </w:p>
        </w:tc>
        <w:tc>
          <w:tcPr>
            <w:tcW w:w="0" w:type="auto"/>
            <w:vAlign w:val="center"/>
            <w:hideMark/>
          </w:tcPr>
          <w:p w14:paraId="24A9E2BC" w14:textId="6734A4EC" w:rsidR="003F001A" w:rsidRPr="003F001A" w:rsidRDefault="008F317D" w:rsidP="003F001A">
            <m:oMathPara>
              <m:oMath>
                <m:r>
                  <w:rPr>
                    <w:rFonts w:ascii="Cambria Math" w:hAnsi="Cambria Math"/>
                  </w:rPr>
                  <m:t>17.50</m:t>
                </m:r>
                <m:r>
                  <m:rPr>
                    <m:nor/>
                  </m:rPr>
                  <w:rPr>
                    <w:rFonts w:ascii="Cambria Math" w:hAnsi="Cambria Math"/>
                  </w:rPr>
                  <m:t xml:space="preserve"> B</m:t>
                </m:r>
              </m:oMath>
            </m:oMathPara>
          </w:p>
        </w:tc>
        <w:tc>
          <w:tcPr>
            <w:tcW w:w="0" w:type="auto"/>
            <w:vAlign w:val="center"/>
            <w:hideMark/>
          </w:tcPr>
          <w:p w14:paraId="246C1BA4" w14:textId="31752190" w:rsidR="003F001A" w:rsidRPr="003F001A" w:rsidRDefault="008F317D" w:rsidP="003F001A">
            <m:oMathPara>
              <m:oMath>
                <m:r>
                  <w:rPr>
                    <w:rFonts w:ascii="Cambria Math" w:hAnsi="Cambria Math"/>
                  </w:rPr>
                  <m:t>2.00</m:t>
                </m:r>
                <m:r>
                  <m:rPr>
                    <m:nor/>
                  </m:rPr>
                  <w:rPr>
                    <w:rFonts w:ascii="Cambria Math" w:hAnsi="Cambria Math"/>
                  </w:rPr>
                  <m:t xml:space="preserve"> B</m:t>
                </m:r>
              </m:oMath>
            </m:oMathPara>
          </w:p>
        </w:tc>
      </w:tr>
    </w:tbl>
    <w:p w14:paraId="130FCDEB" w14:textId="77777777" w:rsidR="003F001A" w:rsidRPr="003F001A" w:rsidRDefault="003F001A" w:rsidP="003F001A">
      <w:r w:rsidRPr="003F001A">
        <w:rPr>
          <w:b/>
          <w:bCs/>
        </w:rPr>
        <w:t>Computational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6"/>
        <w:gridCol w:w="2341"/>
        <w:gridCol w:w="2401"/>
        <w:gridCol w:w="3842"/>
      </w:tblGrid>
      <w:tr w:rsidR="003F001A" w:rsidRPr="003F001A" w14:paraId="498D15E4" w14:textId="77777777">
        <w:trPr>
          <w:tblCellSpacing w:w="15" w:type="dxa"/>
        </w:trPr>
        <w:tc>
          <w:tcPr>
            <w:tcW w:w="0" w:type="auto"/>
            <w:vAlign w:val="center"/>
            <w:hideMark/>
          </w:tcPr>
          <w:p w14:paraId="605B681E" w14:textId="77777777" w:rsidR="003F001A" w:rsidRPr="003F001A" w:rsidRDefault="003F001A" w:rsidP="003F001A">
            <w:pPr>
              <w:rPr>
                <w:b/>
                <w:bCs/>
              </w:rPr>
            </w:pPr>
            <w:r w:rsidRPr="003F001A">
              <w:rPr>
                <w:b/>
                <w:bCs/>
              </w:rPr>
              <w:t>Metric</w:t>
            </w:r>
          </w:p>
        </w:tc>
        <w:tc>
          <w:tcPr>
            <w:tcW w:w="0" w:type="auto"/>
            <w:vAlign w:val="center"/>
            <w:hideMark/>
          </w:tcPr>
          <w:p w14:paraId="2DB62622" w14:textId="77777777" w:rsidR="003F001A" w:rsidRPr="003F001A" w:rsidRDefault="003F001A" w:rsidP="003F001A">
            <w:pPr>
              <w:rPr>
                <w:b/>
                <w:bCs/>
              </w:rPr>
            </w:pPr>
            <w:r w:rsidRPr="003F001A">
              <w:rPr>
                <w:b/>
                <w:bCs/>
              </w:rPr>
              <w:t>Scenario 1 (Low Corr)</w:t>
            </w:r>
          </w:p>
        </w:tc>
        <w:tc>
          <w:tcPr>
            <w:tcW w:w="0" w:type="auto"/>
            <w:vAlign w:val="center"/>
            <w:hideMark/>
          </w:tcPr>
          <w:p w14:paraId="3FE1BB05" w14:textId="77777777" w:rsidR="003F001A" w:rsidRPr="003F001A" w:rsidRDefault="003F001A" w:rsidP="003F001A">
            <w:pPr>
              <w:rPr>
                <w:b/>
                <w:bCs/>
              </w:rPr>
            </w:pPr>
            <w:r w:rsidRPr="003F001A">
              <w:rPr>
                <w:b/>
                <w:bCs/>
              </w:rPr>
              <w:t>Scenario 2 (High Corr)</w:t>
            </w:r>
          </w:p>
        </w:tc>
        <w:tc>
          <w:tcPr>
            <w:tcW w:w="0" w:type="auto"/>
            <w:vAlign w:val="center"/>
            <w:hideMark/>
          </w:tcPr>
          <w:p w14:paraId="51D09265" w14:textId="77777777" w:rsidR="003F001A" w:rsidRPr="003F001A" w:rsidRDefault="003F001A" w:rsidP="003F001A">
            <w:pPr>
              <w:rPr>
                <w:b/>
                <w:bCs/>
              </w:rPr>
            </w:pPr>
            <w:r w:rsidRPr="003F001A">
              <w:rPr>
                <w:b/>
                <w:bCs/>
              </w:rPr>
              <w:t>Implication</w:t>
            </w:r>
          </w:p>
        </w:tc>
      </w:tr>
      <w:tr w:rsidR="003F001A" w:rsidRPr="003F001A" w14:paraId="780A74BA" w14:textId="77777777">
        <w:trPr>
          <w:tblCellSpacing w:w="15" w:type="dxa"/>
        </w:trPr>
        <w:tc>
          <w:tcPr>
            <w:tcW w:w="0" w:type="auto"/>
            <w:vAlign w:val="center"/>
            <w:hideMark/>
          </w:tcPr>
          <w:p w14:paraId="448DA691" w14:textId="77777777" w:rsidR="003F001A" w:rsidRPr="003F001A" w:rsidRDefault="003F001A" w:rsidP="003F001A">
            <w:r w:rsidRPr="003F001A">
              <w:rPr>
                <w:b/>
                <w:bCs/>
              </w:rPr>
              <w:t>VaR</w:t>
            </w:r>
          </w:p>
        </w:tc>
        <w:tc>
          <w:tcPr>
            <w:tcW w:w="0" w:type="auto"/>
            <w:vAlign w:val="center"/>
            <w:hideMark/>
          </w:tcPr>
          <w:p w14:paraId="093BE13F" w14:textId="2E7CCAD7" w:rsidR="003F001A" w:rsidRPr="003F001A" w:rsidRDefault="008F317D" w:rsidP="003F001A">
            <m:oMathPara>
              <m:oMath>
                <m:r>
                  <w:rPr>
                    <w:rFonts w:ascii="Cambria Math" w:hAnsi="Cambria Math"/>
                  </w:rPr>
                  <m:t>1.97</m:t>
                </m:r>
                <m:r>
                  <m:rPr>
                    <m:nor/>
                  </m:rPr>
                  <w:rPr>
                    <w:rFonts w:ascii="Cambria Math" w:hAnsi="Cambria Math"/>
                  </w:rPr>
                  <m:t xml:space="preserve"> Billion</m:t>
                </m:r>
              </m:oMath>
            </m:oMathPara>
          </w:p>
        </w:tc>
        <w:tc>
          <w:tcPr>
            <w:tcW w:w="0" w:type="auto"/>
            <w:vAlign w:val="center"/>
            <w:hideMark/>
          </w:tcPr>
          <w:p w14:paraId="593CD5D3" w14:textId="0222365E" w:rsidR="003F001A" w:rsidRPr="003F001A" w:rsidRDefault="008F317D" w:rsidP="003F001A">
            <m:oMathPara>
              <m:oMath>
                <m:r>
                  <w:rPr>
                    <w:rFonts w:ascii="Cambria Math" w:hAnsi="Cambria Math"/>
                  </w:rPr>
                  <m:t>12.87</m:t>
                </m:r>
                <m:r>
                  <m:rPr>
                    <m:nor/>
                  </m:rPr>
                  <w:rPr>
                    <w:rFonts w:ascii="Cambria Math" w:hAnsi="Cambria Math"/>
                  </w:rPr>
                  <m:t xml:space="preserve"> Billion</m:t>
                </m:r>
              </m:oMath>
            </m:oMathPara>
          </w:p>
        </w:tc>
        <w:tc>
          <w:tcPr>
            <w:tcW w:w="0" w:type="auto"/>
            <w:vAlign w:val="center"/>
            <w:hideMark/>
          </w:tcPr>
          <w:p w14:paraId="0DE3D260" w14:textId="77777777" w:rsidR="003F001A" w:rsidRPr="003F001A" w:rsidRDefault="003F001A" w:rsidP="003F001A">
            <w:r w:rsidRPr="003F001A">
              <w:t>Max loss 99.9% of the time.</w:t>
            </w:r>
          </w:p>
        </w:tc>
      </w:tr>
      <w:tr w:rsidR="003F001A" w:rsidRPr="003F001A" w14:paraId="6824F75B" w14:textId="77777777">
        <w:trPr>
          <w:tblCellSpacing w:w="15" w:type="dxa"/>
        </w:trPr>
        <w:tc>
          <w:tcPr>
            <w:tcW w:w="0" w:type="auto"/>
            <w:vAlign w:val="center"/>
            <w:hideMark/>
          </w:tcPr>
          <w:p w14:paraId="442D0B31" w14:textId="77777777" w:rsidR="003F001A" w:rsidRPr="003F001A" w:rsidRDefault="003F001A" w:rsidP="003F001A">
            <w:r w:rsidRPr="003F001A">
              <w:rPr>
                <w:b/>
                <w:bCs/>
              </w:rPr>
              <w:t>TVaR</w:t>
            </w:r>
          </w:p>
        </w:tc>
        <w:tc>
          <w:tcPr>
            <w:tcW w:w="0" w:type="auto"/>
            <w:vAlign w:val="center"/>
            <w:hideMark/>
          </w:tcPr>
          <w:p w14:paraId="0F1327F4" w14:textId="275094B2" w:rsidR="003F001A" w:rsidRPr="003F001A" w:rsidRDefault="008F317D" w:rsidP="003F001A">
            <m:oMathPara>
              <m:oMath>
                <m:r>
                  <w:rPr>
                    <w:rFonts w:ascii="Cambria Math" w:hAnsi="Cambria Math"/>
                  </w:rPr>
                  <m:t>2.74</m:t>
                </m:r>
                <m:r>
                  <m:rPr>
                    <m:nor/>
                  </m:rPr>
                  <w:rPr>
                    <w:rFonts w:ascii="Cambria Math" w:hAnsi="Cambria Math"/>
                  </w:rPr>
                  <m:t xml:space="preserve"> Billion</m:t>
                </m:r>
              </m:oMath>
            </m:oMathPara>
          </w:p>
        </w:tc>
        <w:tc>
          <w:tcPr>
            <w:tcW w:w="0" w:type="auto"/>
            <w:vAlign w:val="center"/>
            <w:hideMark/>
          </w:tcPr>
          <w:p w14:paraId="6CF06440" w14:textId="43A4F0A1" w:rsidR="003F001A" w:rsidRPr="003F001A" w:rsidRDefault="008F317D" w:rsidP="003F001A">
            <m:oMathPara>
              <m:oMath>
                <m:r>
                  <w:rPr>
                    <w:rFonts w:ascii="Cambria Math" w:hAnsi="Cambria Math"/>
                  </w:rPr>
                  <m:t>15.00</m:t>
                </m:r>
                <m:r>
                  <m:rPr>
                    <m:nor/>
                  </m:rPr>
                  <w:rPr>
                    <w:rFonts w:ascii="Cambria Math" w:hAnsi="Cambria Math"/>
                  </w:rPr>
                  <m:t xml:space="preserve"> Billion</m:t>
                </m:r>
              </m:oMath>
            </m:oMathPara>
          </w:p>
        </w:tc>
        <w:tc>
          <w:tcPr>
            <w:tcW w:w="0" w:type="auto"/>
            <w:vAlign w:val="center"/>
            <w:hideMark/>
          </w:tcPr>
          <w:p w14:paraId="5D42D652" w14:textId="77777777" w:rsidR="003F001A" w:rsidRPr="003F001A" w:rsidRDefault="003F001A" w:rsidP="003F001A">
            <w:r w:rsidRPr="003F001A">
              <w:t>Expected loss in worst 0.1% of cases.</w:t>
            </w:r>
          </w:p>
        </w:tc>
      </w:tr>
    </w:tbl>
    <w:p w14:paraId="6D3249A7" w14:textId="0DE4DE3E" w:rsidR="003F001A" w:rsidRPr="003F001A" w:rsidRDefault="003F001A" w:rsidP="003F001A">
      <w:r w:rsidRPr="003F001A">
        <w:rPr>
          <w:b/>
          <w:bCs/>
        </w:rPr>
        <w:t>Conclusion on Volatility:</w:t>
      </w:r>
      <w:r w:rsidRPr="003F001A">
        <w:t xml:space="preserve"> The change in the correlation parameter </w:t>
      </w:r>
      <m:oMath>
        <m:r>
          <w:rPr>
            <w:rFonts w:ascii="Cambria Math" w:hAnsi="Cambria Math"/>
          </w:rPr>
          <m:t>(</m:t>
        </m:r>
        <m:r>
          <m:rPr>
            <m:sty m:val="p"/>
          </m:rPr>
          <w:rPr>
            <w:rFonts w:ascii="Cambria Math" w:hAnsi="Cambria Math"/>
          </w:rPr>
          <m:t>ρ</m:t>
        </m:r>
        <m:r>
          <w:rPr>
            <w:rFonts w:ascii="Cambria Math" w:hAnsi="Cambria Math"/>
          </w:rPr>
          <m:t>)</m:t>
        </m:r>
      </m:oMath>
      <w:r w:rsidRPr="003F001A">
        <w:t xml:space="preserve"> from 0.05 to 0.80 resulted in a massive increase in the loss volatility </w:t>
      </w:r>
      <m:oMath>
        <m:d>
          <m:dPr>
            <m:ctrlPr>
              <w:rPr>
                <w:rFonts w:ascii="Cambria Math" w:hAnsi="Cambria Math"/>
                <w:i/>
              </w:rPr>
            </m:ctrlPr>
          </m:dPr>
          <m:e>
            <m:sSub>
              <m:sSubPr>
                <m:ctrlPr>
                  <w:rPr>
                    <w:rFonts w:ascii="Cambria Math" w:hAnsi="Cambria Math"/>
                    <w:i/>
                  </w:rPr>
                </m:ctrlPr>
              </m:sSubPr>
              <m:e>
                <m:r>
                  <m:rPr>
                    <m:sty m:val="p"/>
                  </m:rPr>
                  <w:rPr>
                    <w:rFonts w:ascii="Cambria Math" w:hAnsi="Cambria Math"/>
                  </w:rPr>
                  <m:t>σ</m:t>
                </m:r>
              </m:e>
              <m:sub>
                <m:r>
                  <m:rPr>
                    <m:nor/>
                  </m:rPr>
                  <w:rPr>
                    <w:rFonts w:ascii="Cambria Math" w:hAnsi="Cambria Math"/>
                  </w:rPr>
                  <m:t>Loss</m:t>
                </m:r>
              </m:sub>
            </m:sSub>
          </m:e>
        </m:d>
      </m:oMath>
      <w:r w:rsidRPr="003F001A">
        <w:t xml:space="preserve"> from $</w:t>
      </w:r>
      <w:r w:rsidR="008F317D" w:rsidRPr="003F001A">
        <w:t xml:space="preserve"> </w:t>
      </w:r>
      <w:r w:rsidRPr="003F001A">
        <w:t>5.00</w:t>
      </w:r>
      <w:r w:rsidR="008F317D">
        <w:t xml:space="preserve"> </w:t>
      </w:r>
      <w:r w:rsidRPr="003F001A">
        <w:t>Billion to $17.50</w:t>
      </w:r>
      <w:r w:rsidR="0061496C">
        <w:t xml:space="preserve"> </w:t>
      </w:r>
      <w:r w:rsidRPr="003F001A">
        <w:t xml:space="preserve">Billion, representing a </w:t>
      </w:r>
      <w:r w:rsidRPr="003F001A">
        <w:rPr>
          <w:b/>
          <w:bCs/>
        </w:rPr>
        <w:t>350% increase in systematic risk</w:t>
      </w:r>
      <w:r w:rsidRPr="003F001A">
        <w:t xml:space="preserve">. This jump proves the failure of </w:t>
      </w:r>
      <w:r w:rsidRPr="003F001A">
        <w:lastRenderedPageBreak/>
        <w:t>diversification and pushes the TVaR to $15.00 Billion, exceeding the firm's capital.</w:t>
      </w:r>
      <w:r w:rsidR="000A1210" w:rsidRPr="000A1210">
        <w:rPr>
          <w:noProof/>
        </w:rPr>
        <w:t xml:space="preserve"> </w:t>
      </w:r>
      <w:r w:rsidR="000A1210" w:rsidRPr="000A1210">
        <w:rPr>
          <w:noProof/>
        </w:rPr>
        <w:drawing>
          <wp:inline distT="0" distB="0" distL="0" distR="0" wp14:anchorId="14462F29" wp14:editId="1681AC98">
            <wp:extent cx="5943600" cy="3615690"/>
            <wp:effectExtent l="0" t="0" r="0" b="3810"/>
            <wp:docPr id="1073926178"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26178" name="Picture 1" descr="A graph with numbers and a line&#10;&#10;AI-generated content may be incorrect."/>
                    <pic:cNvPicPr/>
                  </pic:nvPicPr>
                  <pic:blipFill>
                    <a:blip r:embed="rId9"/>
                    <a:stretch>
                      <a:fillRect/>
                    </a:stretch>
                  </pic:blipFill>
                  <pic:spPr>
                    <a:xfrm>
                      <a:off x="0" y="0"/>
                      <a:ext cx="5943600" cy="3615690"/>
                    </a:xfrm>
                    <a:prstGeom prst="rect">
                      <a:avLst/>
                    </a:prstGeom>
                  </pic:spPr>
                </pic:pic>
              </a:graphicData>
            </a:graphic>
          </wp:inline>
        </w:drawing>
      </w:r>
    </w:p>
    <w:p w14:paraId="3D408594" w14:textId="77777777" w:rsidR="003F001A" w:rsidRPr="003F001A" w:rsidRDefault="003F001A" w:rsidP="003F001A">
      <w:pPr>
        <w:rPr>
          <w:b/>
          <w:bCs/>
        </w:rPr>
      </w:pPr>
      <w:r w:rsidRPr="003F001A">
        <w:rPr>
          <w:b/>
          <w:bCs/>
        </w:rPr>
        <w:t>Figure 1: Scenario 1 Loss Distribution (Manageable Risk)</w:t>
      </w:r>
    </w:p>
    <w:p w14:paraId="6F51469F" w14:textId="1F32356E" w:rsidR="003F001A" w:rsidRDefault="003F001A" w:rsidP="003F001A">
      <w:pPr>
        <w:rPr>
          <w:i/>
          <w:iCs/>
        </w:rPr>
      </w:pPr>
      <w:r w:rsidRPr="003F001A">
        <w:rPr>
          <w:i/>
          <w:iCs/>
        </w:rPr>
        <w:t>Figure 1 illustrates the initial, flawed model (Low Correlation</w:t>
      </w:r>
      <m:oMath>
        <m:r>
          <w:rPr>
            <w:rFonts w:ascii="Cambria Math" w:hAnsi="Cambria Math"/>
          </w:rPr>
          <m:t>,ρ=0.05</m:t>
        </m:r>
      </m:oMath>
      <w:r w:rsidRPr="003F001A">
        <w:rPr>
          <w:i/>
          <w:iCs/>
        </w:rPr>
        <w:t>). All risk measures (</w:t>
      </w:r>
      <w:r w:rsidRPr="003F001A">
        <w:t>$\text{VaR} = \$1.97\text{B}$</w:t>
      </w:r>
      <w:r w:rsidRPr="003F001A">
        <w:rPr>
          <w:i/>
          <w:iCs/>
        </w:rPr>
        <w:t xml:space="preserve">, </w:t>
      </w:r>
      <w:r w:rsidRPr="003F001A">
        <w:t>$\text{TVaR} = \$2.74\text{B}$</w:t>
      </w:r>
      <w:r w:rsidRPr="003F001A">
        <w:rPr>
          <w:i/>
          <w:iCs/>
        </w:rPr>
        <w:t>) are safely below the Firm Capital line (</w:t>
      </w:r>
      <w:r w:rsidRPr="003F001A">
        <w:t>$\$5.00\text{B}$</w:t>
      </w:r>
      <w:r w:rsidRPr="003F001A">
        <w:rPr>
          <w:i/>
          <w:iCs/>
        </w:rPr>
        <w:t>), suggesting a manageable risk profile.</w:t>
      </w:r>
    </w:p>
    <w:p w14:paraId="7862CBC7" w14:textId="08024E6D" w:rsidR="000A1210" w:rsidRPr="003F001A" w:rsidRDefault="00FD65C2" w:rsidP="003F001A">
      <w:r w:rsidRPr="00FD65C2">
        <w:rPr>
          <w:noProof/>
        </w:rPr>
        <w:lastRenderedPageBreak/>
        <w:drawing>
          <wp:inline distT="0" distB="0" distL="0" distR="0" wp14:anchorId="5B875D6C" wp14:editId="7FF3F7F1">
            <wp:extent cx="5943600" cy="3427730"/>
            <wp:effectExtent l="0" t="0" r="0" b="1270"/>
            <wp:docPr id="279820865" name="Picture 1" descr="A graph of a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20865" name="Picture 1" descr="A graph of a loss&#10;&#10;AI-generated content may be incorrect."/>
                    <pic:cNvPicPr/>
                  </pic:nvPicPr>
                  <pic:blipFill>
                    <a:blip r:embed="rId10"/>
                    <a:stretch>
                      <a:fillRect/>
                    </a:stretch>
                  </pic:blipFill>
                  <pic:spPr>
                    <a:xfrm>
                      <a:off x="0" y="0"/>
                      <a:ext cx="5943600" cy="3427730"/>
                    </a:xfrm>
                    <a:prstGeom prst="rect">
                      <a:avLst/>
                    </a:prstGeom>
                  </pic:spPr>
                </pic:pic>
              </a:graphicData>
            </a:graphic>
          </wp:inline>
        </w:drawing>
      </w:r>
    </w:p>
    <w:p w14:paraId="1C0F2305" w14:textId="77777777" w:rsidR="003F001A" w:rsidRPr="003F001A" w:rsidRDefault="003F001A" w:rsidP="003F001A">
      <w:pPr>
        <w:rPr>
          <w:b/>
          <w:bCs/>
        </w:rPr>
      </w:pPr>
      <w:r w:rsidRPr="003F001A">
        <w:rPr>
          <w:b/>
          <w:bCs/>
        </w:rPr>
        <w:t>Figure 2: Scenario 2 Loss Distribution (Catastrophic Risk)</w:t>
      </w:r>
    </w:p>
    <w:p w14:paraId="0BBF47F8" w14:textId="2A0BBCC5" w:rsidR="003F001A" w:rsidRDefault="003F001A" w:rsidP="003F001A">
      <w:pPr>
        <w:rPr>
          <w:i/>
          <w:iCs/>
        </w:rPr>
      </w:pPr>
      <w:r w:rsidRPr="003F001A">
        <w:rPr>
          <w:i/>
          <w:iCs/>
        </w:rPr>
        <w:t>Figure 2 illustrates the corrected, catastrophic model (High Correlation</w:t>
      </w:r>
      <m:oMath>
        <m:r>
          <w:rPr>
            <w:rFonts w:ascii="Cambria Math" w:hAnsi="Cambria Math"/>
          </w:rPr>
          <m:t>,</m:t>
        </m:r>
        <m:r>
          <m:rPr>
            <m:sty m:val="p"/>
          </m:rPr>
          <w:rPr>
            <w:rFonts w:ascii="Cambria Math" w:hAnsi="Cambria Math"/>
          </w:rPr>
          <m:t>ρ</m:t>
        </m:r>
        <m:r>
          <w:rPr>
            <w:rFonts w:ascii="Cambria Math" w:hAnsi="Cambria Math"/>
          </w:rPr>
          <m:t>=0.80</m:t>
        </m:r>
      </m:oMath>
      <w:r w:rsidRPr="003F001A">
        <w:rPr>
          <w:i/>
          <w:iCs/>
        </w:rPr>
        <w:t xml:space="preserve">). The distribution is significantly wider (fat-tailed). Both VaR </w:t>
      </w:r>
      <m:oMath>
        <m:d>
          <m:dPr>
            <m:ctrlPr>
              <w:rPr>
                <w:rFonts w:ascii="Cambria Math" w:hAnsi="Cambria Math"/>
                <w:i/>
                <w:iCs/>
              </w:rPr>
            </m:ctrlPr>
          </m:dPr>
          <m:e>
            <m:r>
              <w:rPr>
                <w:rFonts w:ascii="Cambria Math" w:hAnsi="Cambria Math"/>
              </w:rPr>
              <m:t>12.87</m:t>
            </m:r>
            <m:r>
              <m:rPr>
                <m:nor/>
              </m:rPr>
              <w:rPr>
                <w:rFonts w:ascii="Cambria Math" w:hAnsi="Cambria Math"/>
              </w:rPr>
              <m:t>B</m:t>
            </m:r>
          </m:e>
        </m:d>
      </m:oMath>
      <w:r w:rsidRPr="003F001A">
        <w:rPr>
          <w:i/>
          <w:iCs/>
        </w:rPr>
        <w:t xml:space="preserve"> and TVaR </w:t>
      </w:r>
      <m:oMath>
        <m:d>
          <m:dPr>
            <m:ctrlPr>
              <w:rPr>
                <w:rFonts w:ascii="Cambria Math" w:hAnsi="Cambria Math"/>
                <w:i/>
                <w:iCs/>
              </w:rPr>
            </m:ctrlPr>
          </m:dPr>
          <m:e>
            <m:r>
              <w:rPr>
                <w:rFonts w:ascii="Cambria Math" w:hAnsi="Cambria Math"/>
              </w:rPr>
              <m:t>15.00</m:t>
            </m:r>
            <m:r>
              <m:rPr>
                <m:nor/>
              </m:rPr>
              <w:rPr>
                <w:rFonts w:ascii="Cambria Math" w:hAnsi="Cambria Math"/>
              </w:rPr>
              <m:t>B</m:t>
            </m:r>
          </m:e>
        </m:d>
      </m:oMath>
      <w:r w:rsidRPr="003F001A">
        <w:rPr>
          <w:i/>
          <w:iCs/>
        </w:rPr>
        <w:t xml:space="preserve"> now lie far past the Firm Capital line </w:t>
      </w:r>
      <m:oMath>
        <m:d>
          <m:dPr>
            <m:ctrlPr>
              <w:rPr>
                <w:rFonts w:ascii="Cambria Math" w:hAnsi="Cambria Math"/>
                <w:i/>
                <w:iCs/>
              </w:rPr>
            </m:ctrlPr>
          </m:dPr>
          <m:e>
            <m:r>
              <w:rPr>
                <w:rFonts w:ascii="Cambria Math" w:hAnsi="Cambria Math"/>
              </w:rPr>
              <m:t>5.00</m:t>
            </m:r>
            <m:r>
              <m:rPr>
                <m:nor/>
              </m:rPr>
              <w:rPr>
                <w:rFonts w:ascii="Cambria Math" w:hAnsi="Cambria Math"/>
              </w:rPr>
              <m:t>B</m:t>
            </m:r>
          </m:e>
        </m:d>
      </m:oMath>
      <w:r w:rsidRPr="003F001A">
        <w:rPr>
          <w:i/>
          <w:iCs/>
        </w:rPr>
        <w:t>, proving the firm's insolvency.</w:t>
      </w:r>
    </w:p>
    <w:p w14:paraId="00A7373F" w14:textId="08BDC4E1" w:rsidR="008029D1" w:rsidRPr="003F001A" w:rsidRDefault="008029D1" w:rsidP="003F001A">
      <w:r w:rsidRPr="008029D1">
        <w:rPr>
          <w:noProof/>
        </w:rPr>
        <w:drawing>
          <wp:inline distT="0" distB="0" distL="0" distR="0" wp14:anchorId="73368F2D" wp14:editId="75BFA38F">
            <wp:extent cx="5943600" cy="3156585"/>
            <wp:effectExtent l="0" t="0" r="0" b="5715"/>
            <wp:docPr id="293804677"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04677" name="Picture 1" descr="A graph of a graph&#10;&#10;AI-generated content may be incorrect."/>
                    <pic:cNvPicPr/>
                  </pic:nvPicPr>
                  <pic:blipFill>
                    <a:blip r:embed="rId11"/>
                    <a:stretch>
                      <a:fillRect/>
                    </a:stretch>
                  </pic:blipFill>
                  <pic:spPr>
                    <a:xfrm>
                      <a:off x="0" y="0"/>
                      <a:ext cx="5943600" cy="3156585"/>
                    </a:xfrm>
                    <a:prstGeom prst="rect">
                      <a:avLst/>
                    </a:prstGeom>
                  </pic:spPr>
                </pic:pic>
              </a:graphicData>
            </a:graphic>
          </wp:inline>
        </w:drawing>
      </w:r>
    </w:p>
    <w:p w14:paraId="44389DB4" w14:textId="77777777" w:rsidR="003F001A" w:rsidRPr="003F001A" w:rsidRDefault="003F001A" w:rsidP="003F001A">
      <w:pPr>
        <w:rPr>
          <w:b/>
          <w:bCs/>
        </w:rPr>
      </w:pPr>
      <w:r w:rsidRPr="003F001A">
        <w:rPr>
          <w:b/>
          <w:bCs/>
        </w:rPr>
        <w:t>Figure 3: Comparative Loss Distribution (The Fat Tail Effect)</w:t>
      </w:r>
    </w:p>
    <w:p w14:paraId="4B06ED76" w14:textId="1A679DB9" w:rsidR="003F001A" w:rsidRPr="003F001A" w:rsidRDefault="003F001A" w:rsidP="003F001A">
      <w:r w:rsidRPr="003F001A">
        <w:rPr>
          <w:i/>
          <w:iCs/>
        </w:rPr>
        <w:lastRenderedPageBreak/>
        <w:t xml:space="preserve">Figure 3 combines both scenarios, showing the dramatic shift in risk. The probability mass shifts from the manageable center of the initial curve into the extreme 'fat tail' of the corrected curve. The difference in TVaR visually represents the </w:t>
      </w:r>
      <m:oMath>
        <m:r>
          <w:rPr>
            <w:rFonts w:ascii="Cambria Math" w:hAnsi="Cambria Math"/>
          </w:rPr>
          <m:t>12.26</m:t>
        </m:r>
        <m:r>
          <m:rPr>
            <m:nor/>
          </m:rPr>
          <w:rPr>
            <w:rFonts w:ascii="Cambria Math" w:hAnsi="Cambria Math"/>
          </w:rPr>
          <m:t>B</m:t>
        </m:r>
      </m:oMath>
      <w:r w:rsidRPr="003F001A">
        <w:rPr>
          <w:i/>
          <w:iCs/>
        </w:rPr>
        <w:t xml:space="preserve"> increase in expected catastrophic loss.</w:t>
      </w:r>
    </w:p>
    <w:p w14:paraId="63D0B75C" w14:textId="77777777" w:rsidR="003F001A" w:rsidRPr="003F001A" w:rsidRDefault="003F001A" w:rsidP="003F001A">
      <w:pPr>
        <w:rPr>
          <w:b/>
          <w:bCs/>
        </w:rPr>
      </w:pPr>
      <w:r w:rsidRPr="003F001A">
        <w:rPr>
          <w:b/>
          <w:bCs/>
        </w:rPr>
        <w:t>C. Optimal Execution Framework (Q3)</w:t>
      </w:r>
    </w:p>
    <w:p w14:paraId="5917290D" w14:textId="77777777" w:rsidR="003F001A" w:rsidRPr="003F001A" w:rsidRDefault="003F001A" w:rsidP="003F001A">
      <w:r w:rsidRPr="003F001A">
        <w:rPr>
          <w:b/>
          <w:bCs/>
        </w:rPr>
        <w:t>Model:</w:t>
      </w:r>
      <w:r w:rsidRPr="003F001A">
        <w:t xml:space="preserve"> The Almgren and Chriss framework determines the optimal trading rate to minimize total execution cost.</w:t>
      </w:r>
    </w:p>
    <w:p w14:paraId="688EAF63" w14:textId="3B26364E" w:rsidR="003F001A" w:rsidRPr="003F001A" w:rsidRDefault="00FD65C2" w:rsidP="003F001A">
      <m:oMathPara>
        <m:oMath>
          <m:r>
            <m:rPr>
              <m:nor/>
            </m:rPr>
            <w:rPr>
              <w:rFonts w:ascii="Cambria Math" w:hAnsi="Cambria Math"/>
            </w:rPr>
            <m:t>Total Cost</m:t>
          </m:r>
          <m:d>
            <m:dPr>
              <m:ctrlPr>
                <w:rPr>
                  <w:rFonts w:ascii="Cambria Math" w:hAnsi="Cambria Math"/>
                  <w:i/>
                </w:rPr>
              </m:ctrlPr>
            </m:dPr>
            <m:e>
              <m:r>
                <w:rPr>
                  <w:rFonts w:ascii="Cambria Math" w:hAnsi="Cambria Math"/>
                </w:rPr>
                <m:t>T</m:t>
              </m:r>
            </m:e>
          </m:d>
          <m:r>
            <w:rPr>
              <w:rFonts w:ascii="Cambria Math" w:hAnsi="Cambria Math"/>
            </w:rPr>
            <m:t>=</m:t>
          </m:r>
          <m:f>
            <m:fPr>
              <m:ctrlPr>
                <w:rPr>
                  <w:rFonts w:ascii="Cambria Math" w:hAnsi="Cambria Math"/>
                </w:rPr>
              </m:ctrlPr>
            </m:fPr>
            <m:num>
              <m:r>
                <m:rPr>
                  <m:sty m:val="p"/>
                </m:rPr>
                <w:rPr>
                  <w:rFonts w:ascii="Cambria Math" w:hAnsi="Cambria Math"/>
                </w:rPr>
                <m:t>γ</m:t>
              </m:r>
              <m:sSup>
                <m:sSupPr>
                  <m:ctrlPr>
                    <w:rPr>
                      <w:rFonts w:ascii="Cambria Math" w:hAnsi="Cambria Math"/>
                      <w:i/>
                    </w:rPr>
                  </m:ctrlPr>
                </m:sSupPr>
                <m:e>
                  <m:r>
                    <w:rPr>
                      <w:rFonts w:ascii="Cambria Math" w:hAnsi="Cambria Math"/>
                    </w:rPr>
                    <m:t>X</m:t>
                  </m:r>
                </m:e>
                <m:sup>
                  <m:r>
                    <w:rPr>
                      <w:rFonts w:ascii="Cambria Math" w:hAnsi="Cambria Math"/>
                    </w:rPr>
                    <m:t>2</m:t>
                  </m:r>
                </m:sup>
              </m:sSup>
              <m:ctrlPr>
                <w:rPr>
                  <w:rFonts w:ascii="Cambria Math" w:hAnsi="Cambria Math"/>
                  <w:i/>
                </w:rPr>
              </m:ctrlPr>
            </m:num>
            <m:den>
              <m:r>
                <w:rPr>
                  <w:rFonts w:ascii="Cambria Math" w:hAnsi="Cambria Math"/>
                </w:rPr>
                <m:t>T</m:t>
              </m:r>
              <m:ctrlPr>
                <w:rPr>
                  <w:rFonts w:ascii="Cambria Math" w:hAnsi="Cambria Math"/>
                  <w:i/>
                </w:rPr>
              </m:ctrlPr>
            </m:den>
          </m:f>
          <m:r>
            <w:rPr>
              <w:rFonts w:ascii="Cambria Math" w:hAnsi="Cambria Math"/>
            </w:rPr>
            <m:t>+</m:t>
          </m:r>
          <m:r>
            <m:rPr>
              <m:sty m:val="p"/>
            </m:rPr>
            <w:rPr>
              <w:rFonts w:ascii="Cambria Math" w:hAnsi="Cambria Math"/>
            </w:rPr>
            <m:t>λ</m:t>
          </m:r>
          <m:sSup>
            <m:sSupPr>
              <m:ctrlPr>
                <w:rPr>
                  <w:rFonts w:ascii="Cambria Math" w:hAnsi="Cambria Math"/>
                  <w:i/>
                </w:rPr>
              </m:ctrlPr>
            </m:sSupPr>
            <m:e>
              <m:r>
                <m:rPr>
                  <m:sty m:val="p"/>
                </m:rPr>
                <w:rPr>
                  <w:rFonts w:ascii="Cambria Math" w:hAnsi="Cambria Math"/>
                </w:rPr>
                <m:t>σ</m:t>
              </m:r>
              <m:ctrlPr>
                <w:rPr>
                  <w:rFonts w:ascii="Cambria Math" w:hAnsi="Cambria Math"/>
                </w:rPr>
              </m:ctrlPr>
            </m:e>
            <m:sup>
              <m:r>
                <w:rPr>
                  <w:rFonts w:ascii="Cambria Math" w:hAnsi="Cambria Math"/>
                </w:rPr>
                <m:t>2</m:t>
              </m:r>
            </m:sup>
          </m:sSup>
          <m:r>
            <w:rPr>
              <w:rFonts w:ascii="Cambria Math" w:hAnsi="Cambria Math"/>
            </w:rPr>
            <m:t>T</m:t>
          </m:r>
        </m:oMath>
      </m:oMathPara>
    </w:p>
    <w:p w14:paraId="44EB56BC" w14:textId="77777777" w:rsidR="003F001A" w:rsidRPr="003F001A" w:rsidRDefault="003F001A" w:rsidP="003F001A">
      <w:r w:rsidRPr="003F001A">
        <w:rPr>
          <w:b/>
          <w:bCs/>
        </w:rPr>
        <w:t>Analysis of Execution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4"/>
        <w:gridCol w:w="3596"/>
        <w:gridCol w:w="3160"/>
      </w:tblGrid>
      <w:tr w:rsidR="00B53589" w:rsidRPr="003F001A" w14:paraId="00268309" w14:textId="77777777">
        <w:trPr>
          <w:tblCellSpacing w:w="15" w:type="dxa"/>
        </w:trPr>
        <w:tc>
          <w:tcPr>
            <w:tcW w:w="0" w:type="auto"/>
            <w:vAlign w:val="center"/>
            <w:hideMark/>
          </w:tcPr>
          <w:p w14:paraId="136B481C" w14:textId="77777777" w:rsidR="003F001A" w:rsidRPr="003F001A" w:rsidRDefault="003F001A" w:rsidP="003F001A">
            <w:pPr>
              <w:rPr>
                <w:b/>
                <w:bCs/>
              </w:rPr>
            </w:pPr>
            <w:r w:rsidRPr="003F001A">
              <w:rPr>
                <w:b/>
                <w:bCs/>
              </w:rPr>
              <w:t>Cost Component</w:t>
            </w:r>
          </w:p>
        </w:tc>
        <w:tc>
          <w:tcPr>
            <w:tcW w:w="0" w:type="auto"/>
            <w:vAlign w:val="center"/>
            <w:hideMark/>
          </w:tcPr>
          <w:p w14:paraId="15BA1D89" w14:textId="30269F90" w:rsidR="003F001A" w:rsidRPr="003F001A" w:rsidRDefault="003F001A" w:rsidP="003F001A">
            <w:pPr>
              <w:rPr>
                <w:b/>
                <w:bCs/>
              </w:rPr>
            </w:pPr>
            <w:r w:rsidRPr="003F001A">
              <w:rPr>
                <w:b/>
                <w:bCs/>
              </w:rPr>
              <w:t xml:space="preserve">Scenario A: Normal Execution (2 Days, </w:t>
            </w:r>
            <m:oMath>
              <m:r>
                <m:rPr>
                  <m:sty m:val="b"/>
                </m:rPr>
                <w:rPr>
                  <w:rFonts w:ascii="Cambria Math" w:hAnsi="Cambria Math"/>
                </w:rPr>
                <m:t>λ</m:t>
              </m:r>
              <m:r>
                <m:rPr>
                  <m:sty m:val="bi"/>
                </m:rPr>
                <w:rPr>
                  <w:rFonts w:ascii="Cambria Math" w:hAnsi="Cambria Math"/>
                </w:rPr>
                <m:t>=0.5</m:t>
              </m:r>
            </m:oMath>
            <w:r w:rsidRPr="003F001A">
              <w:rPr>
                <w:b/>
                <w:bCs/>
              </w:rPr>
              <w:t>)</w:t>
            </w:r>
          </w:p>
        </w:tc>
        <w:tc>
          <w:tcPr>
            <w:tcW w:w="0" w:type="auto"/>
            <w:vAlign w:val="center"/>
            <w:hideMark/>
          </w:tcPr>
          <w:p w14:paraId="200BCF90" w14:textId="2D99C632" w:rsidR="003F001A" w:rsidRPr="003F001A" w:rsidRDefault="003F001A" w:rsidP="003F001A">
            <w:pPr>
              <w:rPr>
                <w:b/>
                <w:bCs/>
              </w:rPr>
            </w:pPr>
            <w:r w:rsidRPr="003F001A">
              <w:rPr>
                <w:b/>
                <w:bCs/>
              </w:rPr>
              <w:t xml:space="preserve">Scenario B: Margin Call (0.1 Days, </w:t>
            </w:r>
            <m:oMath>
              <m:r>
                <m:rPr>
                  <m:sty m:val="b"/>
                </m:rPr>
                <w:rPr>
                  <w:rFonts w:ascii="Cambria Math" w:hAnsi="Cambria Math"/>
                </w:rPr>
                <m:t>λ→∞</m:t>
              </m:r>
            </m:oMath>
            <w:r w:rsidRPr="003F001A">
              <w:rPr>
                <w:b/>
                <w:bCs/>
              </w:rPr>
              <w:t>)</w:t>
            </w:r>
          </w:p>
        </w:tc>
      </w:tr>
      <w:tr w:rsidR="00B53589" w:rsidRPr="003F001A" w14:paraId="44AA455F" w14:textId="77777777">
        <w:trPr>
          <w:tblCellSpacing w:w="15" w:type="dxa"/>
        </w:trPr>
        <w:tc>
          <w:tcPr>
            <w:tcW w:w="0" w:type="auto"/>
            <w:vAlign w:val="center"/>
            <w:hideMark/>
          </w:tcPr>
          <w:p w14:paraId="607D9AD4" w14:textId="1A4A50A5" w:rsidR="003F001A" w:rsidRPr="003F001A" w:rsidRDefault="003F001A" w:rsidP="003F001A">
            <w:r w:rsidRPr="003F001A">
              <w:rPr>
                <w:b/>
                <w:bCs/>
              </w:rPr>
              <w:t xml:space="preserve">Market Impact Cost </w:t>
            </w:r>
            <m:oMath>
              <m:r>
                <m:rPr>
                  <m:sty m:val="bi"/>
                </m:rPr>
                <w:rPr>
                  <w:rFonts w:ascii="Cambria Math" w:hAnsi="Cambria Math"/>
                </w:rPr>
                <m:t>(</m:t>
              </m:r>
              <m:r>
                <m:rPr>
                  <m:sty m:val="p"/>
                </m:rPr>
                <w:rPr>
                  <w:rFonts w:ascii="Cambria Math" w:hAnsi="Cambria Math"/>
                </w:rPr>
                <m:t>γ</m:t>
              </m:r>
              <m:r>
                <w:rPr>
                  <w:rFonts w:ascii="Cambria Math" w:hAnsi="Cambria Math"/>
                </w:rPr>
                <m:t xml:space="preserve">X^2 </m:t>
              </m:r>
              <m:r>
                <m:rPr>
                  <m:lit/>
                </m:rPr>
                <w:rPr>
                  <w:rFonts w:ascii="Cambria Math" w:hAnsi="Cambria Math"/>
                </w:rPr>
                <m:t>/</m:t>
              </m:r>
              <m:r>
                <w:rPr>
                  <w:rFonts w:ascii="Cambria Math" w:hAnsi="Cambria Math"/>
                </w:rPr>
                <m:t xml:space="preserve"> T</m:t>
              </m:r>
              <m:r>
                <m:rPr>
                  <m:sty m:val="bi"/>
                </m:rPr>
                <w:rPr>
                  <w:rFonts w:ascii="Cambria Math" w:hAnsi="Cambria Math"/>
                </w:rPr>
                <m:t>)</m:t>
              </m:r>
            </m:oMath>
          </w:p>
        </w:tc>
        <w:tc>
          <w:tcPr>
            <w:tcW w:w="0" w:type="auto"/>
            <w:vAlign w:val="center"/>
            <w:hideMark/>
          </w:tcPr>
          <w:p w14:paraId="4DA99773" w14:textId="77777777" w:rsidR="003F001A" w:rsidRPr="003F001A" w:rsidRDefault="003F001A" w:rsidP="003F001A">
            <w:r w:rsidRPr="003F001A">
              <w:t>$25.0 Million</w:t>
            </w:r>
          </w:p>
        </w:tc>
        <w:tc>
          <w:tcPr>
            <w:tcW w:w="0" w:type="auto"/>
            <w:vAlign w:val="center"/>
            <w:hideMark/>
          </w:tcPr>
          <w:p w14:paraId="7E23F63C" w14:textId="77777777" w:rsidR="003F001A" w:rsidRPr="003F001A" w:rsidRDefault="003F001A" w:rsidP="003F001A">
            <w:r w:rsidRPr="003F001A">
              <w:rPr>
                <w:b/>
                <w:bCs/>
              </w:rPr>
              <w:t>$500.0 Million</w:t>
            </w:r>
          </w:p>
        </w:tc>
      </w:tr>
      <w:tr w:rsidR="00B53589" w:rsidRPr="003F001A" w14:paraId="6BFBA976" w14:textId="77777777">
        <w:trPr>
          <w:tblCellSpacing w:w="15" w:type="dxa"/>
        </w:trPr>
        <w:tc>
          <w:tcPr>
            <w:tcW w:w="0" w:type="auto"/>
            <w:vAlign w:val="center"/>
            <w:hideMark/>
          </w:tcPr>
          <w:p w14:paraId="533424CD" w14:textId="240B081C" w:rsidR="003F001A" w:rsidRPr="003F001A" w:rsidRDefault="003F001A" w:rsidP="003F001A">
            <w:r w:rsidRPr="003F001A">
              <w:rPr>
                <w:b/>
                <w:bCs/>
              </w:rPr>
              <w:t xml:space="preserve">Risk Cost </w:t>
            </w:r>
            <m:oMath>
              <m:r>
                <m:rPr>
                  <m:sty m:val="bi"/>
                </m:rPr>
                <w:rPr>
                  <w:rFonts w:ascii="Cambria Math" w:hAnsi="Cambria Math"/>
                </w:rPr>
                <m:t>(</m:t>
              </m:r>
              <m:r>
                <m:rPr>
                  <m:sty m:val="p"/>
                </m:rPr>
                <w:rPr>
                  <w:rFonts w:ascii="Cambria Math" w:hAnsi="Cambria Math"/>
                </w:rPr>
                <m:t>λσ</m:t>
              </m:r>
              <m:r>
                <w:rPr>
                  <w:rFonts w:ascii="Cambria Math" w:hAnsi="Cambria Math"/>
                </w:rPr>
                <m:t>^2 T</m:t>
              </m:r>
              <m:r>
                <m:rPr>
                  <m:sty m:val="bi"/>
                </m:rPr>
                <w:rPr>
                  <w:rFonts w:ascii="Cambria Math" w:hAnsi="Cambria Math"/>
                </w:rPr>
                <m:t>)</m:t>
              </m:r>
            </m:oMath>
          </w:p>
        </w:tc>
        <w:tc>
          <w:tcPr>
            <w:tcW w:w="0" w:type="auto"/>
            <w:vAlign w:val="center"/>
            <w:hideMark/>
          </w:tcPr>
          <w:p w14:paraId="1274BDC4" w14:textId="77777777" w:rsidR="003F001A" w:rsidRPr="003F001A" w:rsidRDefault="003F001A" w:rsidP="003F001A">
            <w:r w:rsidRPr="003F001A">
              <w:t>$10.0 Million</w:t>
            </w:r>
          </w:p>
        </w:tc>
        <w:tc>
          <w:tcPr>
            <w:tcW w:w="0" w:type="auto"/>
            <w:vAlign w:val="center"/>
            <w:hideMark/>
          </w:tcPr>
          <w:p w14:paraId="23A0D442" w14:textId="77777777" w:rsidR="003F001A" w:rsidRPr="003F001A" w:rsidRDefault="003F001A" w:rsidP="003F001A">
            <w:r w:rsidRPr="003F001A">
              <w:rPr>
                <w:b/>
                <w:bCs/>
              </w:rPr>
              <w:t>$0.5 Million</w:t>
            </w:r>
          </w:p>
        </w:tc>
      </w:tr>
      <w:tr w:rsidR="00B53589" w:rsidRPr="003F001A" w14:paraId="528DA04B" w14:textId="77777777">
        <w:trPr>
          <w:tblCellSpacing w:w="15" w:type="dxa"/>
        </w:trPr>
        <w:tc>
          <w:tcPr>
            <w:tcW w:w="0" w:type="auto"/>
            <w:vAlign w:val="center"/>
            <w:hideMark/>
          </w:tcPr>
          <w:p w14:paraId="30A10AA1" w14:textId="77777777" w:rsidR="003F001A" w:rsidRPr="003F001A" w:rsidRDefault="003F001A" w:rsidP="003F001A">
            <w:r w:rsidRPr="003F001A">
              <w:rPr>
                <w:b/>
                <w:bCs/>
              </w:rPr>
              <w:t>Total Execution Cost</w:t>
            </w:r>
          </w:p>
        </w:tc>
        <w:tc>
          <w:tcPr>
            <w:tcW w:w="0" w:type="auto"/>
            <w:vAlign w:val="center"/>
            <w:hideMark/>
          </w:tcPr>
          <w:p w14:paraId="2D219895" w14:textId="77777777" w:rsidR="003F001A" w:rsidRPr="003F001A" w:rsidRDefault="003F001A" w:rsidP="003F001A">
            <w:r w:rsidRPr="003F001A">
              <w:t>$35.0 Million</w:t>
            </w:r>
          </w:p>
        </w:tc>
        <w:tc>
          <w:tcPr>
            <w:tcW w:w="0" w:type="auto"/>
            <w:vAlign w:val="center"/>
            <w:hideMark/>
          </w:tcPr>
          <w:p w14:paraId="7CE75AA6" w14:textId="77777777" w:rsidR="003F001A" w:rsidRPr="003F001A" w:rsidRDefault="003F001A" w:rsidP="003F001A">
            <w:r w:rsidRPr="003F001A">
              <w:rPr>
                <w:b/>
                <w:bCs/>
              </w:rPr>
              <w:t>$500.5 Million</w:t>
            </w:r>
          </w:p>
        </w:tc>
      </w:tr>
    </w:tbl>
    <w:p w14:paraId="1E4B3F2E" w14:textId="3009F90F" w:rsidR="003F001A" w:rsidRDefault="003F001A" w:rsidP="003F001A">
      <w:r w:rsidRPr="003F001A">
        <w:rPr>
          <w:b/>
          <w:bCs/>
        </w:rPr>
        <w:t>Survival Conclusion:</w:t>
      </w:r>
      <w:r w:rsidRPr="003F001A">
        <w:t xml:space="preserve"> The firm must choose the path that rapidly eliminates risk (Scenario B), accepting a higher execution cost </w:t>
      </w:r>
      <m:oMath>
        <m:r>
          <w:rPr>
            <w:rFonts w:ascii="Cambria Math" w:hAnsi="Cambria Math"/>
          </w:rPr>
          <m:t xml:space="preserve">($500.5 </m:t>
        </m:r>
        <m:r>
          <m:rPr>
            <m:sty m:val="bi"/>
          </m:rPr>
          <w:rPr>
            <w:rFonts w:ascii="Cambria Math" w:hAnsi="Cambria Math"/>
          </w:rPr>
          <m:t>Million</m:t>
        </m:r>
        <m:r>
          <w:rPr>
            <w:rFonts w:ascii="Cambria Math" w:hAnsi="Cambria Math"/>
          </w:rPr>
          <m:t>)</m:t>
        </m:r>
      </m:oMath>
      <w:r w:rsidRPr="003F001A">
        <w:t xml:space="preserve">. The cost of delay (Scenario A) guarantees a </w:t>
      </w:r>
      <m:oMath>
        <m:r>
          <w:rPr>
            <w:rFonts w:ascii="Cambria Math" w:hAnsi="Cambria Math"/>
          </w:rPr>
          <m:t>15.0</m:t>
        </m:r>
        <m:r>
          <m:rPr>
            <m:nor/>
          </m:rPr>
          <w:rPr>
            <w:rFonts w:ascii="Cambria Math" w:hAnsi="Cambria Math"/>
          </w:rPr>
          <m:t xml:space="preserve"> Bli</m:t>
        </m:r>
      </m:oMath>
      <w:r w:rsidRPr="003F001A">
        <w:t xml:space="preserve"> loss, making the execution cost negligible. The </w:t>
      </w:r>
      <m:oMath>
        <m:r>
          <w:rPr>
            <w:rFonts w:ascii="Cambria Math" w:hAnsi="Cambria Math"/>
          </w:rPr>
          <m:t>1:30</m:t>
        </m:r>
      </m:oMath>
      <w:r w:rsidRPr="003F001A">
        <w:t xml:space="preserve"> </w:t>
      </w:r>
      <w:r w:rsidRPr="003F001A">
        <w:rPr>
          <w:b/>
          <w:bCs/>
        </w:rPr>
        <w:t>Survival Cost Ratio</w:t>
      </w:r>
      <w:r w:rsidRPr="003F001A">
        <w:t xml:space="preserve"> demonstrates that the higher execution price is mandatory for survival.</w:t>
      </w:r>
    </w:p>
    <w:p w14:paraId="5C39C260" w14:textId="2BCB41C5" w:rsidR="008029D1" w:rsidRPr="003F001A" w:rsidRDefault="00D90FB8" w:rsidP="003F001A">
      <w:r w:rsidRPr="00D90FB8">
        <w:rPr>
          <w:noProof/>
        </w:rPr>
        <w:lastRenderedPageBreak/>
        <w:drawing>
          <wp:inline distT="0" distB="0" distL="0" distR="0" wp14:anchorId="2FA6E481" wp14:editId="11A92706">
            <wp:extent cx="5943600" cy="3313430"/>
            <wp:effectExtent l="0" t="0" r="0" b="1270"/>
            <wp:docPr id="339465021" name="Picture 1"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65021" name="Picture 1" descr="A graph on a black background&#10;&#10;AI-generated content may be incorrect."/>
                    <pic:cNvPicPr/>
                  </pic:nvPicPr>
                  <pic:blipFill>
                    <a:blip r:embed="rId12"/>
                    <a:stretch>
                      <a:fillRect/>
                    </a:stretch>
                  </pic:blipFill>
                  <pic:spPr>
                    <a:xfrm>
                      <a:off x="0" y="0"/>
                      <a:ext cx="5943600" cy="3313430"/>
                    </a:xfrm>
                    <a:prstGeom prst="rect">
                      <a:avLst/>
                    </a:prstGeom>
                  </pic:spPr>
                </pic:pic>
              </a:graphicData>
            </a:graphic>
          </wp:inline>
        </w:drawing>
      </w:r>
    </w:p>
    <w:p w14:paraId="47C38AB2" w14:textId="77777777" w:rsidR="003F001A" w:rsidRPr="003F001A" w:rsidRDefault="003F001A" w:rsidP="003F001A">
      <w:pPr>
        <w:rPr>
          <w:b/>
          <w:bCs/>
        </w:rPr>
      </w:pPr>
      <w:r w:rsidRPr="003F001A">
        <w:rPr>
          <w:b/>
          <w:bCs/>
        </w:rPr>
        <w:t>Figure 4: Optimal Execution Cost Trade-Off (Almgren and Chriss)</w:t>
      </w:r>
    </w:p>
    <w:p w14:paraId="33ACB757" w14:textId="77777777" w:rsidR="003F001A" w:rsidRPr="003F001A" w:rsidRDefault="003F001A" w:rsidP="003F001A">
      <w:r w:rsidRPr="003F001A">
        <w:rPr>
          <w:i/>
          <w:iCs/>
        </w:rPr>
        <w:t>Figure 4 illustrates the components of the Total Cost (execution cost + risk cost). In the crisis, the firm's extreme risk aversion forces the optimal liquidation time to shift dramatically toward zero (the 'by 11 o'clock' point), minimizing the exposure to the systemic risk inherent in the TVaR calculation.</w:t>
      </w:r>
    </w:p>
    <w:p w14:paraId="040254EF" w14:textId="77777777" w:rsidR="003F001A" w:rsidRPr="003F001A" w:rsidRDefault="003F001A" w:rsidP="003F001A">
      <w:pPr>
        <w:rPr>
          <w:b/>
          <w:bCs/>
        </w:rPr>
      </w:pPr>
      <w:r w:rsidRPr="003F001A">
        <w:rPr>
          <w:b/>
          <w:bCs/>
        </w:rPr>
        <w:t>D. Advanced Correlation Proof (Q2 Technical Backing)</w:t>
      </w:r>
    </w:p>
    <w:p w14:paraId="6880FD82" w14:textId="6BB70A4A" w:rsidR="003F001A" w:rsidRPr="003F001A" w:rsidRDefault="003F001A" w:rsidP="003F001A">
      <w:r w:rsidRPr="003F001A">
        <w:t xml:space="preserve">This section provides the simulation and calculation supporting the change in the correlation parameter </w:t>
      </w:r>
      <m:oMath>
        <m:r>
          <w:rPr>
            <w:rFonts w:ascii="Cambria Math" w:hAnsi="Cambria Math"/>
          </w:rPr>
          <m:t>(</m:t>
        </m:r>
        <m:r>
          <m:rPr>
            <m:sty m:val="p"/>
          </m:rPr>
          <w:rPr>
            <w:rFonts w:ascii="Cambria Math" w:hAnsi="Cambria Math"/>
          </w:rPr>
          <m:t>ρ</m:t>
        </m:r>
        <m:r>
          <w:rPr>
            <w:rFonts w:ascii="Cambria Math" w:hAnsi="Cambria Math"/>
          </w:rPr>
          <m:t>)</m:t>
        </m:r>
      </m:oMath>
      <w:r w:rsidRPr="003F001A">
        <w:t xml:space="preserve"> from 0.05 to 0.80.</w:t>
      </w:r>
    </w:p>
    <w:p w14:paraId="378A5645" w14:textId="77777777" w:rsidR="003F001A" w:rsidRPr="003F001A" w:rsidRDefault="003F001A" w:rsidP="003F001A">
      <w:pPr>
        <w:rPr>
          <w:b/>
          <w:bCs/>
        </w:rPr>
      </w:pPr>
      <w:r w:rsidRPr="003F001A">
        <w:rPr>
          <w:b/>
          <w:bCs/>
        </w:rPr>
        <w:t>1. Micro-Proof: Joint Default Frequency (JDF)</w:t>
      </w:r>
    </w:p>
    <w:p w14:paraId="511C5A13" w14:textId="77777777" w:rsidR="003F001A" w:rsidRPr="003F001A" w:rsidRDefault="003F001A" w:rsidP="003F001A">
      <w:r w:rsidRPr="003F001A">
        <w:t>The first piece of evidence was the observed rate of simultaneous defaults (JDF) in a sample of 100,000 loans, which dramatically exceeded the prediction of the old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2"/>
        <w:gridCol w:w="2676"/>
        <w:gridCol w:w="2507"/>
        <w:gridCol w:w="2335"/>
      </w:tblGrid>
      <w:tr w:rsidR="003F001A" w:rsidRPr="003F001A" w14:paraId="00C459CD" w14:textId="77777777">
        <w:trPr>
          <w:tblCellSpacing w:w="15" w:type="dxa"/>
        </w:trPr>
        <w:tc>
          <w:tcPr>
            <w:tcW w:w="0" w:type="auto"/>
            <w:vAlign w:val="center"/>
            <w:hideMark/>
          </w:tcPr>
          <w:p w14:paraId="47B86FE8" w14:textId="77777777" w:rsidR="003F001A" w:rsidRPr="003F001A" w:rsidRDefault="003F001A" w:rsidP="003F001A">
            <w:pPr>
              <w:rPr>
                <w:b/>
                <w:bCs/>
              </w:rPr>
            </w:pPr>
            <w:r w:rsidRPr="003F001A">
              <w:rPr>
                <w:b/>
                <w:bCs/>
              </w:rPr>
              <w:t>Scenario</w:t>
            </w:r>
          </w:p>
        </w:tc>
        <w:tc>
          <w:tcPr>
            <w:tcW w:w="0" w:type="auto"/>
            <w:vAlign w:val="center"/>
            <w:hideMark/>
          </w:tcPr>
          <w:p w14:paraId="09A9EB6E" w14:textId="07438CDC" w:rsidR="003F001A" w:rsidRPr="003F001A" w:rsidRDefault="003F001A" w:rsidP="003F001A">
            <w:pPr>
              <w:rPr>
                <w:b/>
                <w:bCs/>
              </w:rPr>
            </w:pPr>
            <w:r w:rsidRPr="003F001A">
              <w:rPr>
                <w:b/>
                <w:bCs/>
              </w:rPr>
              <w:t xml:space="preserve">Expected Joint Defaults </w:t>
            </w:r>
            <m:oMath>
              <m:d>
                <m:dPr>
                  <m:ctrlPr>
                    <w:rPr>
                      <w:rFonts w:ascii="Cambria Math" w:hAnsi="Cambria Math"/>
                      <w:b/>
                      <w:bCs/>
                      <w:i/>
                    </w:rPr>
                  </m:ctrlPr>
                </m:dPr>
                <m:e>
                  <m:r>
                    <m:rPr>
                      <m:sty m:val="b"/>
                    </m:rPr>
                    <w:rPr>
                      <w:rFonts w:ascii="Cambria Math" w:hAnsi="Cambria Math"/>
                    </w:rPr>
                    <m:t>ρ</m:t>
                  </m:r>
                  <m:r>
                    <m:rPr>
                      <m:sty m:val="bi"/>
                    </m:rPr>
                    <w:rPr>
                      <w:rFonts w:ascii="Cambria Math" w:hAnsi="Cambria Math"/>
                    </w:rPr>
                    <m:t>=0.05</m:t>
                  </m:r>
                </m:e>
              </m:d>
            </m:oMath>
          </w:p>
        </w:tc>
        <w:tc>
          <w:tcPr>
            <w:tcW w:w="0" w:type="auto"/>
            <w:vAlign w:val="center"/>
            <w:hideMark/>
          </w:tcPr>
          <w:p w14:paraId="56B98DC3" w14:textId="77777777" w:rsidR="003F001A" w:rsidRPr="003F001A" w:rsidRDefault="003F001A" w:rsidP="003F001A">
            <w:pPr>
              <w:rPr>
                <w:b/>
                <w:bCs/>
              </w:rPr>
            </w:pPr>
            <w:r w:rsidRPr="003F001A">
              <w:rPr>
                <w:b/>
                <w:bCs/>
              </w:rPr>
              <w:t>Observed Defaults (Latest Data)</w:t>
            </w:r>
          </w:p>
        </w:tc>
        <w:tc>
          <w:tcPr>
            <w:tcW w:w="0" w:type="auto"/>
            <w:vAlign w:val="center"/>
            <w:hideMark/>
          </w:tcPr>
          <w:p w14:paraId="27805186" w14:textId="0E803EFB" w:rsidR="003F001A" w:rsidRPr="003F001A" w:rsidRDefault="003F001A" w:rsidP="003F001A">
            <w:pPr>
              <w:rPr>
                <w:b/>
                <w:bCs/>
              </w:rPr>
            </w:pPr>
            <w:r w:rsidRPr="003F001A">
              <w:rPr>
                <w:b/>
                <w:bCs/>
              </w:rPr>
              <w:t xml:space="preserve">Required Defaults </w:t>
            </w:r>
            <m:oMath>
              <m:d>
                <m:dPr>
                  <m:ctrlPr>
                    <w:rPr>
                      <w:rFonts w:ascii="Cambria Math" w:hAnsi="Cambria Math"/>
                      <w:b/>
                      <w:bCs/>
                      <w:i/>
                    </w:rPr>
                  </m:ctrlPr>
                </m:dPr>
                <m:e>
                  <m:r>
                    <m:rPr>
                      <m:sty m:val="b"/>
                    </m:rPr>
                    <w:rPr>
                      <w:rFonts w:ascii="Cambria Math" w:hAnsi="Cambria Math"/>
                    </w:rPr>
                    <m:t>ρ</m:t>
                  </m:r>
                  <m:r>
                    <m:rPr>
                      <m:sty m:val="bi"/>
                    </m:rPr>
                    <w:rPr>
                      <w:rFonts w:ascii="Cambria Math" w:hAnsi="Cambria Math"/>
                    </w:rPr>
                    <m:t>=0.80</m:t>
                  </m:r>
                </m:e>
              </m:d>
            </m:oMath>
          </w:p>
        </w:tc>
      </w:tr>
      <w:tr w:rsidR="003F001A" w:rsidRPr="003F001A" w14:paraId="5DCA4670" w14:textId="77777777">
        <w:trPr>
          <w:tblCellSpacing w:w="15" w:type="dxa"/>
        </w:trPr>
        <w:tc>
          <w:tcPr>
            <w:tcW w:w="0" w:type="auto"/>
            <w:vAlign w:val="center"/>
            <w:hideMark/>
          </w:tcPr>
          <w:p w14:paraId="07B5B1F7" w14:textId="77777777" w:rsidR="003F001A" w:rsidRPr="003F001A" w:rsidRDefault="003F001A" w:rsidP="003F001A">
            <w:r w:rsidRPr="003F001A">
              <w:rPr>
                <w:b/>
                <w:bCs/>
              </w:rPr>
              <w:t>Count per 100k Loans</w:t>
            </w:r>
          </w:p>
        </w:tc>
        <w:tc>
          <w:tcPr>
            <w:tcW w:w="0" w:type="auto"/>
            <w:vAlign w:val="center"/>
            <w:hideMark/>
          </w:tcPr>
          <w:p w14:paraId="607915D0" w14:textId="77777777" w:rsidR="003F001A" w:rsidRPr="003F001A" w:rsidRDefault="003F001A" w:rsidP="003F001A">
            <w:r w:rsidRPr="003F001A">
              <w:rPr>
                <w:b/>
                <w:bCs/>
              </w:rPr>
              <w:t>40</w:t>
            </w:r>
          </w:p>
        </w:tc>
        <w:tc>
          <w:tcPr>
            <w:tcW w:w="0" w:type="auto"/>
            <w:vAlign w:val="center"/>
            <w:hideMark/>
          </w:tcPr>
          <w:p w14:paraId="2046C40A" w14:textId="77777777" w:rsidR="003F001A" w:rsidRPr="003F001A" w:rsidRDefault="003F001A" w:rsidP="003F001A">
            <w:r w:rsidRPr="003F001A">
              <w:rPr>
                <w:b/>
                <w:bCs/>
              </w:rPr>
              <w:t>400</w:t>
            </w:r>
          </w:p>
        </w:tc>
        <w:tc>
          <w:tcPr>
            <w:tcW w:w="0" w:type="auto"/>
            <w:vAlign w:val="center"/>
            <w:hideMark/>
          </w:tcPr>
          <w:p w14:paraId="55DB6BFA" w14:textId="68E3E712" w:rsidR="004971F2" w:rsidRPr="003F001A" w:rsidRDefault="003F001A" w:rsidP="003F001A">
            <w:pPr>
              <w:rPr>
                <w:b/>
                <w:bCs/>
              </w:rPr>
            </w:pPr>
            <w:r w:rsidRPr="003F001A">
              <w:rPr>
                <w:b/>
                <w:bCs/>
              </w:rPr>
              <w:t>401</w:t>
            </w:r>
          </w:p>
        </w:tc>
      </w:tr>
      <w:tr w:rsidR="004971F2" w:rsidRPr="003F001A" w14:paraId="10A2A121" w14:textId="77777777">
        <w:trPr>
          <w:tblCellSpacing w:w="15" w:type="dxa"/>
        </w:trPr>
        <w:tc>
          <w:tcPr>
            <w:tcW w:w="0" w:type="auto"/>
            <w:vAlign w:val="center"/>
          </w:tcPr>
          <w:p w14:paraId="25B18814" w14:textId="77777777" w:rsidR="004971F2" w:rsidRPr="003F001A" w:rsidRDefault="004971F2" w:rsidP="003F001A">
            <w:pPr>
              <w:rPr>
                <w:b/>
                <w:bCs/>
              </w:rPr>
            </w:pPr>
          </w:p>
        </w:tc>
        <w:tc>
          <w:tcPr>
            <w:tcW w:w="0" w:type="auto"/>
            <w:vAlign w:val="center"/>
          </w:tcPr>
          <w:p w14:paraId="26BE2096" w14:textId="77777777" w:rsidR="004971F2" w:rsidRPr="003F001A" w:rsidRDefault="004971F2" w:rsidP="003F001A">
            <w:pPr>
              <w:rPr>
                <w:b/>
                <w:bCs/>
              </w:rPr>
            </w:pPr>
          </w:p>
        </w:tc>
        <w:tc>
          <w:tcPr>
            <w:tcW w:w="0" w:type="auto"/>
            <w:vAlign w:val="center"/>
          </w:tcPr>
          <w:p w14:paraId="66F4F29B" w14:textId="77777777" w:rsidR="004971F2" w:rsidRPr="003F001A" w:rsidRDefault="004971F2" w:rsidP="003F001A">
            <w:pPr>
              <w:rPr>
                <w:b/>
                <w:bCs/>
              </w:rPr>
            </w:pPr>
          </w:p>
        </w:tc>
        <w:tc>
          <w:tcPr>
            <w:tcW w:w="0" w:type="auto"/>
            <w:vAlign w:val="center"/>
          </w:tcPr>
          <w:p w14:paraId="5E0C1586" w14:textId="77777777" w:rsidR="004971F2" w:rsidRPr="003F001A" w:rsidRDefault="004971F2" w:rsidP="003F001A">
            <w:pPr>
              <w:rPr>
                <w:b/>
                <w:bCs/>
              </w:rPr>
            </w:pPr>
          </w:p>
        </w:tc>
      </w:tr>
      <w:tr w:rsidR="00C87126" w:rsidRPr="003F001A" w14:paraId="3C0105AF" w14:textId="77777777">
        <w:trPr>
          <w:tblCellSpacing w:w="15" w:type="dxa"/>
        </w:trPr>
        <w:tc>
          <w:tcPr>
            <w:tcW w:w="0" w:type="auto"/>
            <w:vAlign w:val="center"/>
          </w:tcPr>
          <w:p w14:paraId="5B246253" w14:textId="77777777" w:rsidR="00C87126" w:rsidRPr="003F001A" w:rsidRDefault="00C87126" w:rsidP="003F001A">
            <w:pPr>
              <w:rPr>
                <w:b/>
                <w:bCs/>
              </w:rPr>
            </w:pPr>
          </w:p>
        </w:tc>
        <w:tc>
          <w:tcPr>
            <w:tcW w:w="0" w:type="auto"/>
            <w:vAlign w:val="center"/>
          </w:tcPr>
          <w:p w14:paraId="1DDCF215" w14:textId="77777777" w:rsidR="00C87126" w:rsidRPr="003F001A" w:rsidRDefault="00C87126" w:rsidP="003F001A">
            <w:pPr>
              <w:rPr>
                <w:b/>
                <w:bCs/>
              </w:rPr>
            </w:pPr>
          </w:p>
        </w:tc>
        <w:tc>
          <w:tcPr>
            <w:tcW w:w="0" w:type="auto"/>
            <w:vAlign w:val="center"/>
          </w:tcPr>
          <w:p w14:paraId="403FC0A2" w14:textId="77777777" w:rsidR="00C87126" w:rsidRPr="003F001A" w:rsidRDefault="00C87126" w:rsidP="003F001A">
            <w:pPr>
              <w:rPr>
                <w:b/>
                <w:bCs/>
              </w:rPr>
            </w:pPr>
          </w:p>
        </w:tc>
        <w:tc>
          <w:tcPr>
            <w:tcW w:w="0" w:type="auto"/>
            <w:vAlign w:val="center"/>
          </w:tcPr>
          <w:p w14:paraId="68CDD8BF" w14:textId="77777777" w:rsidR="00C87126" w:rsidRPr="003F001A" w:rsidRDefault="00C87126" w:rsidP="003F001A">
            <w:pPr>
              <w:rPr>
                <w:b/>
                <w:bCs/>
              </w:rPr>
            </w:pPr>
          </w:p>
        </w:tc>
      </w:tr>
    </w:tbl>
    <w:p w14:paraId="3D011B28" w14:textId="6B8DFE22" w:rsidR="00C87126" w:rsidRDefault="00C87126" w:rsidP="003F001A">
      <w:pPr>
        <w:rPr>
          <w:b/>
          <w:bCs/>
        </w:rPr>
      </w:pPr>
      <w:r w:rsidRPr="00C87126">
        <w:rPr>
          <w:b/>
          <w:bCs/>
          <w:noProof/>
        </w:rPr>
        <w:drawing>
          <wp:inline distT="0" distB="0" distL="0" distR="0" wp14:anchorId="415B526A" wp14:editId="77A30DCF">
            <wp:extent cx="5943600" cy="3534410"/>
            <wp:effectExtent l="0" t="0" r="0" b="8890"/>
            <wp:docPr id="1411661148" name="Picture 1" descr="A graph with red and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661148" name="Picture 1" descr="A graph with red and blue bars&#10;&#10;AI-generated content may be incorrect."/>
                    <pic:cNvPicPr/>
                  </pic:nvPicPr>
                  <pic:blipFill>
                    <a:blip r:embed="rId13"/>
                    <a:stretch>
                      <a:fillRect/>
                    </a:stretch>
                  </pic:blipFill>
                  <pic:spPr>
                    <a:xfrm>
                      <a:off x="0" y="0"/>
                      <a:ext cx="5943600" cy="3534410"/>
                    </a:xfrm>
                    <a:prstGeom prst="rect">
                      <a:avLst/>
                    </a:prstGeom>
                  </pic:spPr>
                </pic:pic>
              </a:graphicData>
            </a:graphic>
          </wp:inline>
        </w:drawing>
      </w:r>
    </w:p>
    <w:p w14:paraId="33FD10C1" w14:textId="6CC0D6E6" w:rsidR="003F001A" w:rsidRPr="003F001A" w:rsidRDefault="003F001A" w:rsidP="003F001A">
      <w:pPr>
        <w:rPr>
          <w:b/>
          <w:bCs/>
        </w:rPr>
      </w:pPr>
      <w:r w:rsidRPr="003F001A">
        <w:rPr>
          <w:b/>
          <w:bCs/>
        </w:rPr>
        <w:t>Figure 5: Joint Default Frequency (JDF) Discrepancy - The Correlation Proof</w:t>
      </w:r>
    </w:p>
    <w:p w14:paraId="0E787C55" w14:textId="0D9D4039" w:rsidR="003F001A" w:rsidRPr="003F001A" w:rsidRDefault="003F001A" w:rsidP="003F001A">
      <w:r w:rsidRPr="003F001A">
        <w:rPr>
          <w:i/>
          <w:iCs/>
        </w:rPr>
        <w:t xml:space="preserve">Figure 5 visualizes the fundamental discrepancy: The old model statistically guaranteed low joint defaults (40). The actual data (400) was 10 times higher, proving the old model was broken and mathematically forcing the correlation parameter to be adjusted to </w:t>
      </w:r>
      <m:oMath>
        <m:r>
          <m:rPr>
            <m:sty m:val="p"/>
          </m:rPr>
          <w:rPr>
            <w:rFonts w:ascii="Cambria Math" w:hAnsi="Cambria Math"/>
          </w:rPr>
          <m:t>ρ</m:t>
        </m:r>
        <m:r>
          <w:rPr>
            <w:rFonts w:ascii="Cambria Math" w:hAnsi="Cambria Math"/>
          </w:rPr>
          <m:t>=0.80</m:t>
        </m:r>
      </m:oMath>
      <w:r w:rsidRPr="003F001A">
        <w:rPr>
          <w:i/>
          <w:iCs/>
        </w:rPr>
        <w:t xml:space="preserve"> to match reality.</w:t>
      </w:r>
    </w:p>
    <w:p w14:paraId="3F466F8B" w14:textId="77777777" w:rsidR="003F001A" w:rsidRPr="003F001A" w:rsidRDefault="003F001A" w:rsidP="003F001A">
      <w:pPr>
        <w:rPr>
          <w:b/>
          <w:bCs/>
        </w:rPr>
      </w:pPr>
      <w:r w:rsidRPr="003F001A">
        <w:rPr>
          <w:b/>
          <w:bCs/>
        </w:rPr>
        <w:t>2. Advanced Proof: Systemic Factor Model Breakdown</w:t>
      </w:r>
    </w:p>
    <w:p w14:paraId="0C31F6D9" w14:textId="6578DE21" w:rsidR="003F001A" w:rsidRPr="003F001A" w:rsidRDefault="003F001A" w:rsidP="003F001A">
      <w:r w:rsidRPr="003F001A">
        <w:t xml:space="preserve">The high correlation must be justified by showing that the loan default probability is now overwhelmingly driven by the </w:t>
      </w:r>
      <w:r w:rsidRPr="003F001A">
        <w:rPr>
          <w:b/>
          <w:bCs/>
        </w:rPr>
        <w:t>Systemic Factor</w:t>
      </w:r>
      <w:r w:rsidRPr="003F001A">
        <w:t xml:space="preserve"> (S), like a national housing collapse.</w:t>
      </w:r>
    </w:p>
    <w:p w14:paraId="73D7A404" w14:textId="6B7A0AD7" w:rsidR="003F001A" w:rsidRPr="003F001A" w:rsidRDefault="003F001A" w:rsidP="003F001A">
      <w:r w:rsidRPr="003F001A">
        <w:t xml:space="preserve">The credit quality </w:t>
      </w:r>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oMath>
      <w:r w:rsidRPr="003F001A">
        <w:t xml:space="preserve"> of an individual loan is defined by the following single-factor Gaussian Copula model:</w:t>
      </w:r>
    </w:p>
    <w:p w14:paraId="32BC2EB5" w14:textId="22E91C1A" w:rsidR="003F001A" w:rsidRPr="003F001A" w:rsidRDefault="00000000" w:rsidP="003F001A">
      <m:oMathPara>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rad>
            <m:radPr>
              <m:degHide m:val="1"/>
              <m:ctrlPr>
                <w:rPr>
                  <w:rFonts w:ascii="Cambria Math" w:hAnsi="Cambria Math"/>
                </w:rPr>
              </m:ctrlPr>
            </m:radPr>
            <m:deg/>
            <m:e>
              <m:r>
                <m:rPr>
                  <m:sty m:val="p"/>
                </m:rPr>
                <w:rPr>
                  <w:rFonts w:ascii="Cambria Math" w:hAnsi="Cambria Math"/>
                </w:rPr>
                <m:t>ρ</m:t>
              </m:r>
            </m:e>
          </m:rad>
          <m:r>
            <w:rPr>
              <w:rFonts w:ascii="Cambria Math" w:hAnsi="Cambria Math"/>
            </w:rPr>
            <m:t>S+</m:t>
          </m:r>
          <m:rad>
            <m:radPr>
              <m:degHide m:val="1"/>
              <m:ctrlPr>
                <w:rPr>
                  <w:rFonts w:ascii="Cambria Math" w:hAnsi="Cambria Math"/>
                </w:rPr>
              </m:ctrlPr>
            </m:radPr>
            <m:deg>
              <m:ctrlPr>
                <w:rPr>
                  <w:rFonts w:ascii="Cambria Math" w:hAnsi="Cambria Math"/>
                  <w:i/>
                </w:rPr>
              </m:ctrlPr>
            </m:deg>
            <m:e>
              <m:r>
                <w:rPr>
                  <w:rFonts w:ascii="Cambria Math" w:hAnsi="Cambria Math"/>
                </w:rPr>
                <m:t>1-</m:t>
              </m:r>
              <m:r>
                <m:rPr>
                  <m:sty m:val="p"/>
                </m:rPr>
                <w:rPr>
                  <w:rFonts w:ascii="Cambria Math" w:hAnsi="Cambria Math"/>
                </w:rPr>
                <m:t>ρ</m:t>
              </m:r>
            </m:e>
          </m:rad>
          <m:sSub>
            <m:sSubPr>
              <m:ctrlPr>
                <w:rPr>
                  <w:rFonts w:ascii="Cambria Math" w:hAnsi="Cambria Math"/>
                  <w:i/>
                </w:rPr>
              </m:ctrlPr>
            </m:sSubPr>
            <m:e>
              <m:r>
                <m:rPr>
                  <m:sty m:val="p"/>
                </m:rPr>
                <w:rPr>
                  <w:rFonts w:ascii="Cambria Math" w:hAnsi="Cambria Math"/>
                </w:rPr>
                <m:t>ϵ</m:t>
              </m:r>
              <m:ctrlPr>
                <w:rPr>
                  <w:rFonts w:ascii="Cambria Math" w:hAnsi="Cambria Math"/>
                </w:rPr>
              </m:ctrlPr>
            </m:e>
            <m:sub>
              <m:r>
                <w:rPr>
                  <w:rFonts w:ascii="Cambria Math" w:hAnsi="Cambria Math"/>
                </w:rPr>
                <m:t>i</m:t>
              </m:r>
            </m:sub>
          </m:sSub>
        </m:oMath>
      </m:oMathPara>
    </w:p>
    <w:p w14:paraId="785895F7" w14:textId="78DFA493" w:rsidR="003F001A" w:rsidRPr="003F001A" w:rsidRDefault="003F001A" w:rsidP="003F001A">
      <w:r w:rsidRPr="003F001A">
        <w:t xml:space="preserve">Where $S$ is the Systemic Factor (market/housing), and </w:t>
      </w:r>
      <m:oMath>
        <m:sSub>
          <m:sSubPr>
            <m:ctrlPr>
              <w:rPr>
                <w:rFonts w:ascii="Cambria Math" w:hAnsi="Cambria Math"/>
                <w:i/>
              </w:rPr>
            </m:ctrlPr>
          </m:sSubPr>
          <m:e>
            <m:r>
              <m:rPr>
                <m:sty m:val="p"/>
              </m:rPr>
              <w:rPr>
                <w:rFonts w:ascii="Cambria Math" w:hAnsi="Cambria Math"/>
              </w:rPr>
              <m:t>ϵ</m:t>
            </m:r>
            <m:ctrlPr>
              <w:rPr>
                <w:rFonts w:ascii="Cambria Math" w:hAnsi="Cambria Math"/>
              </w:rPr>
            </m:ctrlPr>
          </m:e>
          <m:sub>
            <m:r>
              <w:rPr>
                <w:rFonts w:ascii="Cambria Math" w:hAnsi="Cambria Math"/>
              </w:rPr>
              <m:t>i</m:t>
            </m:r>
          </m:sub>
        </m:sSub>
      </m:oMath>
      <w:r w:rsidRPr="003F001A">
        <w:t xml:space="preserve"> is the Idiosyncratic Factor (individual loan risk). The default threshold D is the constant required to maintain the original default probability P(D).</w:t>
      </w:r>
    </w:p>
    <w:p w14:paraId="797E181E" w14:textId="15715464" w:rsidR="003F001A" w:rsidRPr="003F001A" w:rsidRDefault="003F001A" w:rsidP="003F001A">
      <w:r w:rsidRPr="003F001A">
        <w:t xml:space="preserve">The probability of default, </w:t>
      </w:r>
      <m:oMath>
        <m:r>
          <w:rPr>
            <w:rFonts w:ascii="Cambria Math" w:hAnsi="Cambria Math"/>
          </w:rPr>
          <m:t>P</m:t>
        </m:r>
        <m:d>
          <m:dPr>
            <m:sepChr m:val="∣"/>
            <m:ctrlPr>
              <w:rPr>
                <w:rFonts w:ascii="Cambria Math" w:hAnsi="Cambria Math"/>
                <w:i/>
              </w:rPr>
            </m:ctrlPr>
          </m:dPr>
          <m:e>
            <m:r>
              <w:rPr>
                <w:rFonts w:ascii="Cambria Math" w:hAnsi="Cambria Math"/>
              </w:rPr>
              <m:t>D</m:t>
            </m:r>
            <m:ctrlPr>
              <w:rPr>
                <w:rFonts w:ascii="Cambria Math" w:hAnsi="Cambria Math"/>
              </w:rPr>
            </m:ctrlPr>
          </m:e>
          <m:e>
            <m:r>
              <w:rPr>
                <w:rFonts w:ascii="Cambria Math" w:hAnsi="Cambria Math"/>
              </w:rPr>
              <m:t>S</m:t>
            </m:r>
          </m:e>
        </m:d>
      </m:oMath>
      <w:r w:rsidRPr="003F001A">
        <w:t>, conditional on the systemic factor S, is calculated by:</w:t>
      </w:r>
    </w:p>
    <w:p w14:paraId="75702C9C" w14:textId="03A5FC6D" w:rsidR="003F001A" w:rsidRPr="003F001A" w:rsidRDefault="005507FC" w:rsidP="003F001A">
      <m:oMathPara>
        <m:oMath>
          <m:r>
            <w:rPr>
              <w:rFonts w:ascii="Cambria Math" w:hAnsi="Cambria Math"/>
            </w:rPr>
            <w:lastRenderedPageBreak/>
            <m:t>P</m:t>
          </m:r>
          <m:d>
            <m:dPr>
              <m:sepChr m:val="∣"/>
              <m:ctrlPr>
                <w:rPr>
                  <w:rFonts w:ascii="Cambria Math" w:hAnsi="Cambria Math"/>
                  <w:i/>
                </w:rPr>
              </m:ctrlPr>
            </m:dPr>
            <m:e>
              <m:r>
                <w:rPr>
                  <w:rFonts w:ascii="Cambria Math" w:hAnsi="Cambria Math"/>
                </w:rPr>
                <m:t>D</m:t>
              </m:r>
              <m:ctrlPr>
                <w:rPr>
                  <w:rFonts w:ascii="Cambria Math" w:hAnsi="Cambria Math"/>
                </w:rPr>
              </m:ctrlPr>
            </m:e>
            <m:e>
              <m:r>
                <w:rPr>
                  <w:rFonts w:ascii="Cambria Math" w:hAnsi="Cambria Math"/>
                </w:rPr>
                <m:t>S</m:t>
              </m:r>
            </m:e>
          </m:d>
          <m:r>
            <w:rPr>
              <w:rFonts w:ascii="Cambria Math" w:hAnsi="Cambria Math"/>
            </w:rPr>
            <m:t>=</m:t>
          </m:r>
          <m:r>
            <m:rPr>
              <m:sty m:val="p"/>
            </m:rPr>
            <w:rPr>
              <w:rFonts w:ascii="Cambria Math" w:hAnsi="Cambria Math"/>
            </w:rPr>
            <m:t>Φ</m:t>
          </m:r>
          <m:d>
            <m:dPr>
              <m:ctrlPr>
                <w:rPr>
                  <w:rFonts w:ascii="Cambria Math" w:hAnsi="Cambria Math"/>
                </w:rPr>
              </m:ctrlPr>
            </m:dPr>
            <m:e>
              <m:f>
                <m:fPr>
                  <m:ctrlPr>
                    <w:rPr>
                      <w:rFonts w:ascii="Cambria Math" w:hAnsi="Cambria Math"/>
                    </w:rPr>
                  </m:ctrlPr>
                </m:fPr>
                <m:num>
                  <m:sSup>
                    <m:sSupPr>
                      <m:ctrlPr>
                        <w:rPr>
                          <w:rFonts w:ascii="Cambria Math" w:hAnsi="Cambria Math"/>
                          <w:i/>
                        </w:rPr>
                      </m:ctrlPr>
                    </m:sSupPr>
                    <m:e>
                      <m:r>
                        <m:rPr>
                          <m:sty m:val="p"/>
                        </m:rPr>
                        <w:rPr>
                          <w:rFonts w:ascii="Cambria Math" w:hAnsi="Cambria Math"/>
                        </w:rPr>
                        <m:t>Φ</m:t>
                      </m:r>
                    </m:e>
                    <m:sup>
                      <m:r>
                        <w:rPr>
                          <w:rFonts w:ascii="Cambria Math" w:hAnsi="Cambria Math"/>
                        </w:rPr>
                        <m:t>-1</m:t>
                      </m:r>
                    </m:sup>
                  </m:sSup>
                  <m:d>
                    <m:dPr>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D</m:t>
                          </m:r>
                        </m:e>
                      </m:d>
                    </m:e>
                  </m:d>
                  <m:r>
                    <w:rPr>
                      <w:rFonts w:ascii="Cambria Math" w:hAnsi="Cambria Math"/>
                    </w:rPr>
                    <m:t>-</m:t>
                  </m:r>
                  <m:rad>
                    <m:radPr>
                      <m:degHide m:val="1"/>
                      <m:ctrlPr>
                        <w:rPr>
                          <w:rFonts w:ascii="Cambria Math" w:hAnsi="Cambria Math"/>
                        </w:rPr>
                      </m:ctrlPr>
                    </m:radPr>
                    <m:deg/>
                    <m:e>
                      <m:r>
                        <m:rPr>
                          <m:sty m:val="p"/>
                        </m:rPr>
                        <w:rPr>
                          <w:rFonts w:ascii="Cambria Math" w:hAnsi="Cambria Math"/>
                        </w:rPr>
                        <m:t>ρ</m:t>
                      </m:r>
                    </m:e>
                  </m:rad>
                  <m:r>
                    <w:rPr>
                      <w:rFonts w:ascii="Cambria Math" w:hAnsi="Cambria Math"/>
                    </w:rPr>
                    <m:t>S</m:t>
                  </m:r>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r>
                        <w:rPr>
                          <w:rFonts w:ascii="Cambria Math" w:hAnsi="Cambria Math"/>
                        </w:rPr>
                        <m:t>1-</m:t>
                      </m:r>
                      <m:r>
                        <m:rPr>
                          <m:sty m:val="p"/>
                        </m:rPr>
                        <w:rPr>
                          <w:rFonts w:ascii="Cambria Math" w:hAnsi="Cambria Math"/>
                        </w:rPr>
                        <m:t>ρ</m:t>
                      </m:r>
                    </m:e>
                  </m:rad>
                  <m:ctrlPr>
                    <w:rPr>
                      <w:rFonts w:ascii="Cambria Math" w:hAnsi="Cambria Math"/>
                      <w:i/>
                    </w:rPr>
                  </m:ctrlPr>
                </m:den>
              </m:f>
              <m:ctrlPr>
                <w:rPr>
                  <w:rFonts w:ascii="Cambria Math" w:hAnsi="Cambria Math"/>
                  <w:i/>
                </w:rPr>
              </m:ctrlPr>
            </m:e>
          </m:d>
        </m:oMath>
      </m:oMathPara>
    </w:p>
    <w:p w14:paraId="6B6C444C" w14:textId="29931621" w:rsidR="003F001A" w:rsidRDefault="003F001A" w:rsidP="003F001A">
      <w:r w:rsidRPr="003F001A">
        <w:t xml:space="preserve">The mathematical consequence of increasing </w:t>
      </w:r>
      <m:oMath>
        <m:r>
          <m:rPr>
            <m:sty m:val="p"/>
          </m:rPr>
          <w:rPr>
            <w:rFonts w:ascii="Cambria Math" w:hAnsi="Cambria Math"/>
          </w:rPr>
          <m:t>ρ</m:t>
        </m:r>
      </m:oMath>
      <w:r w:rsidRPr="003F001A">
        <w:t xml:space="preserve"> from 0.05 to 0.80 is that the </w:t>
      </w:r>
      <w:r w:rsidRPr="003F001A">
        <w:rPr>
          <w:b/>
          <w:bCs/>
        </w:rPr>
        <w:t>Idiosyncratic Factor weight</w:t>
      </w:r>
      <w:r w:rsidRPr="003F001A">
        <w:t xml:space="preserve"> </w:t>
      </w:r>
      <m:oMath>
        <m:rad>
          <m:radPr>
            <m:degHide m:val="1"/>
            <m:ctrlPr>
              <w:rPr>
                <w:rFonts w:ascii="Cambria Math" w:hAnsi="Cambria Math"/>
              </w:rPr>
            </m:ctrlPr>
          </m:radPr>
          <m:deg>
            <m:ctrlPr>
              <w:rPr>
                <w:rFonts w:ascii="Cambria Math" w:hAnsi="Cambria Math"/>
                <w:i/>
              </w:rPr>
            </m:ctrlPr>
          </m:deg>
          <m:e>
            <m:r>
              <w:rPr>
                <w:rFonts w:ascii="Cambria Math" w:hAnsi="Cambria Math"/>
              </w:rPr>
              <m:t>1-</m:t>
            </m:r>
            <m:r>
              <m:rPr>
                <m:sty m:val="p"/>
              </m:rPr>
              <w:rPr>
                <w:rFonts w:ascii="Cambria Math" w:hAnsi="Cambria Math"/>
              </w:rPr>
              <m:t>ρ</m:t>
            </m:r>
          </m:e>
        </m:rad>
      </m:oMath>
      <w:r w:rsidRPr="003F001A">
        <w:t xml:space="preserve"> </w:t>
      </w:r>
      <w:r w:rsidRPr="003F001A">
        <w:rPr>
          <w:b/>
          <w:bCs/>
        </w:rPr>
        <w:t>decreases significantly</w:t>
      </w:r>
      <w:r w:rsidRPr="003F001A">
        <w:t xml:space="preserve">, while the </w:t>
      </w:r>
      <w:r w:rsidRPr="003F001A">
        <w:rPr>
          <w:b/>
          <w:bCs/>
        </w:rPr>
        <w:t>Systemic Factor weight</w:t>
      </w:r>
      <w:r w:rsidRPr="003F001A">
        <w:t xml:space="preserve"> </w:t>
      </w:r>
      <m:oMath>
        <m:rad>
          <m:radPr>
            <m:degHide m:val="1"/>
            <m:ctrlPr>
              <w:rPr>
                <w:rFonts w:ascii="Cambria Math" w:hAnsi="Cambria Math"/>
              </w:rPr>
            </m:ctrlPr>
          </m:radPr>
          <m:deg/>
          <m:e>
            <m:r>
              <m:rPr>
                <m:sty m:val="p"/>
              </m:rPr>
              <w:rPr>
                <w:rFonts w:ascii="Cambria Math" w:hAnsi="Cambria Math"/>
              </w:rPr>
              <m:t>ρ</m:t>
            </m:r>
          </m:e>
        </m:rad>
      </m:oMath>
      <w:r w:rsidRPr="003F001A">
        <w:t xml:space="preserve"> </w:t>
      </w:r>
      <w:r w:rsidRPr="003F001A">
        <w:rPr>
          <w:b/>
          <w:bCs/>
        </w:rPr>
        <w:t>increases sharply</w:t>
      </w:r>
      <w:r w:rsidRPr="003F001A">
        <w:t>. This makes loan defaults nearly completely dependent on the housing market, confirming the systemic crisis.</w:t>
      </w:r>
    </w:p>
    <w:p w14:paraId="1BCE4100" w14:textId="58A66F20" w:rsidR="00A466F0" w:rsidRPr="003F001A" w:rsidRDefault="00A466F0" w:rsidP="003F001A">
      <w:r w:rsidRPr="00A466F0">
        <w:rPr>
          <w:noProof/>
        </w:rPr>
        <w:drawing>
          <wp:inline distT="0" distB="0" distL="0" distR="0" wp14:anchorId="040202F5" wp14:editId="6311117D">
            <wp:extent cx="5943600" cy="3458210"/>
            <wp:effectExtent l="0" t="0" r="0" b="8890"/>
            <wp:docPr id="969245459" name="Picture 1"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245459" name="Picture 1" descr="A graph on a black background&#10;&#10;AI-generated content may be incorrect."/>
                    <pic:cNvPicPr/>
                  </pic:nvPicPr>
                  <pic:blipFill>
                    <a:blip r:embed="rId14"/>
                    <a:stretch>
                      <a:fillRect/>
                    </a:stretch>
                  </pic:blipFill>
                  <pic:spPr>
                    <a:xfrm>
                      <a:off x="0" y="0"/>
                      <a:ext cx="5943600" cy="3458210"/>
                    </a:xfrm>
                    <a:prstGeom prst="rect">
                      <a:avLst/>
                    </a:prstGeom>
                  </pic:spPr>
                </pic:pic>
              </a:graphicData>
            </a:graphic>
          </wp:inline>
        </w:drawing>
      </w:r>
    </w:p>
    <w:p w14:paraId="3384F98B" w14:textId="77777777" w:rsidR="003F001A" w:rsidRPr="003F001A" w:rsidRDefault="003F001A" w:rsidP="003F001A">
      <w:pPr>
        <w:rPr>
          <w:b/>
          <w:bCs/>
        </w:rPr>
      </w:pPr>
      <w:r w:rsidRPr="003F001A">
        <w:rPr>
          <w:b/>
          <w:bCs/>
        </w:rPr>
        <w:t>Figure 6: Systemic Factor Influence on Default Probability (The Catalyst)</w:t>
      </w:r>
    </w:p>
    <w:p w14:paraId="0F660C8F" w14:textId="1026BDC2" w:rsidR="003F001A" w:rsidRPr="003F001A" w:rsidRDefault="003F001A" w:rsidP="003F001A">
      <w:r w:rsidRPr="003F001A">
        <w:rPr>
          <w:i/>
          <w:iCs/>
        </w:rPr>
        <w:t xml:space="preserve">Figure 6 demonstrates the inherent flaw in the Old Model's design. The blue curve (Old Model, </w:t>
      </w:r>
      <m:oMath>
        <m:r>
          <m:rPr>
            <m:sty m:val="p"/>
          </m:rPr>
          <w:rPr>
            <w:rFonts w:ascii="Cambria Math" w:hAnsi="Cambria Math"/>
          </w:rPr>
          <m:t>ρ</m:t>
        </m:r>
        <m:r>
          <w:rPr>
            <w:rFonts w:ascii="Cambria Math" w:hAnsi="Cambria Math"/>
          </w:rPr>
          <m:t>=0.05</m:t>
        </m:r>
      </m:oMath>
      <w:r w:rsidRPr="003F001A">
        <w:rPr>
          <w:i/>
          <w:iCs/>
        </w:rPr>
        <w:t xml:space="preserve">) shows that even an extreme economic shock </w:t>
      </w:r>
      <m:oMath>
        <m:d>
          <m:dPr>
            <m:ctrlPr>
              <w:rPr>
                <w:rFonts w:ascii="Cambria Math" w:hAnsi="Cambria Math"/>
                <w:i/>
                <w:iCs/>
              </w:rPr>
            </m:ctrlPr>
          </m:dPr>
          <m:e>
            <m:r>
              <m:rPr>
                <m:nor/>
              </m:rPr>
              <w:rPr>
                <w:rFonts w:ascii="Cambria Math" w:hAnsi="Cambria Math"/>
              </w:rPr>
              <m:t>S</m:t>
            </m:r>
            <m:r>
              <w:rPr>
                <w:rFonts w:ascii="Cambria Math" w:hAnsi="Cambria Math"/>
              </w:rPr>
              <m:t>=+3</m:t>
            </m:r>
          </m:e>
        </m:d>
      </m:oMath>
      <w:r w:rsidRPr="003F001A">
        <w:rPr>
          <w:i/>
          <w:iCs/>
        </w:rPr>
        <w:t xml:space="preserve"> barely increases the default rate, as individual risk </w:t>
      </w:r>
      <m:oMath>
        <m:r>
          <w:rPr>
            <w:rFonts w:ascii="Cambria Math" w:hAnsi="Cambria Math"/>
          </w:rPr>
          <m:t>(</m:t>
        </m:r>
        <m:sSub>
          <m:sSubPr>
            <m:ctrlPr>
              <w:rPr>
                <w:rFonts w:ascii="Cambria Math" w:hAnsi="Cambria Math"/>
                <w:i/>
              </w:rPr>
            </m:ctrlPr>
          </m:sSubPr>
          <m:e>
            <m:r>
              <m:rPr>
                <m:sty m:val="p"/>
              </m:rPr>
              <w:rPr>
                <w:rFonts w:ascii="Cambria Math" w:hAnsi="Cambria Math"/>
              </w:rPr>
              <m:t>ϵ</m:t>
            </m:r>
            <m:ctrlPr>
              <w:rPr>
                <w:rFonts w:ascii="Cambria Math" w:hAnsi="Cambria Math"/>
                <w:i/>
                <w:iCs/>
              </w:rPr>
            </m:ctrlPr>
          </m:e>
          <m:sub>
            <m:r>
              <w:rPr>
                <w:rFonts w:ascii="Cambria Math" w:hAnsi="Cambria Math"/>
              </w:rPr>
              <m:t>i</m:t>
            </m:r>
          </m:sub>
        </m:sSub>
        <m:r>
          <w:rPr>
            <w:rFonts w:ascii="Cambria Math" w:hAnsi="Cambria Math"/>
          </w:rPr>
          <m:t>)</m:t>
        </m:r>
      </m:oMath>
      <w:r w:rsidRPr="003F001A">
        <w:rPr>
          <w:i/>
          <w:iCs/>
        </w:rPr>
        <w:t xml:space="preserve"> dominates. The red curve (New Model, </w:t>
      </w:r>
      <m:oMath>
        <m:r>
          <m:rPr>
            <m:sty m:val="p"/>
          </m:rPr>
          <w:rPr>
            <w:rFonts w:ascii="Cambria Math" w:hAnsi="Cambria Math"/>
          </w:rPr>
          <m:t>ρ</m:t>
        </m:r>
        <m:r>
          <w:rPr>
            <w:rFonts w:ascii="Cambria Math" w:hAnsi="Cambria Math"/>
          </w:rPr>
          <m:t>=0.80</m:t>
        </m:r>
      </m:oMath>
      <w:r w:rsidRPr="003F001A">
        <w:rPr>
          <w:i/>
          <w:iCs/>
        </w:rPr>
        <w:t>) is highly convex. It confirms that the high correlation means the firm's entire asset value is now dangerously sensitive to a single, adverse movement in the housing market (the Systemic Factor), leading directly to the predicted catastrophic loss.</w:t>
      </w:r>
    </w:p>
    <w:p w14:paraId="176C3EA6" w14:textId="77777777" w:rsidR="00AA7746" w:rsidRDefault="00AA7746"/>
    <w:sectPr w:rsidR="00AA774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had Iskandarov" w:date="2025-12-04T12:11:00Z" w:initials="NI">
    <w:p w14:paraId="46B06DFF" w14:textId="77777777" w:rsidR="00A064BA" w:rsidRDefault="00A064BA" w:rsidP="00A064BA">
      <w:pPr>
        <w:pStyle w:val="CommentText"/>
      </w:pPr>
      <w:r>
        <w:rPr>
          <w:rStyle w:val="CommentReference"/>
        </w:rPr>
        <w:annotationRef/>
      </w:r>
      <w:r>
        <w:t>Here wamted to show lim k to infinity have 2 cases 1 for k=1 (X) other for k&gt;1 (0)  but latex gives error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B06DF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343D4F" w16cex:dateUtc="2025-12-04T18: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B06DFF" w16cid:durableId="2C343D4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B79B7"/>
    <w:multiLevelType w:val="multilevel"/>
    <w:tmpl w:val="6204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8A505A"/>
    <w:multiLevelType w:val="multilevel"/>
    <w:tmpl w:val="9210F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FC6414"/>
    <w:multiLevelType w:val="multilevel"/>
    <w:tmpl w:val="258A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9131B6"/>
    <w:multiLevelType w:val="multilevel"/>
    <w:tmpl w:val="AF94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7D77B7"/>
    <w:multiLevelType w:val="multilevel"/>
    <w:tmpl w:val="CD10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20040F"/>
    <w:multiLevelType w:val="multilevel"/>
    <w:tmpl w:val="D9CA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3B46F1"/>
    <w:multiLevelType w:val="multilevel"/>
    <w:tmpl w:val="7A7C7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25351F"/>
    <w:multiLevelType w:val="multilevel"/>
    <w:tmpl w:val="23C8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6360214">
    <w:abstractNumId w:val="6"/>
  </w:num>
  <w:num w:numId="2" w16cid:durableId="1215969979">
    <w:abstractNumId w:val="2"/>
  </w:num>
  <w:num w:numId="3" w16cid:durableId="2131584518">
    <w:abstractNumId w:val="5"/>
  </w:num>
  <w:num w:numId="4" w16cid:durableId="415328029">
    <w:abstractNumId w:val="3"/>
  </w:num>
  <w:num w:numId="5" w16cid:durableId="509419440">
    <w:abstractNumId w:val="0"/>
  </w:num>
  <w:num w:numId="6" w16cid:durableId="179584346">
    <w:abstractNumId w:val="4"/>
  </w:num>
  <w:num w:numId="7" w16cid:durableId="1968970191">
    <w:abstractNumId w:val="1"/>
  </w:num>
  <w:num w:numId="8" w16cid:durableId="1841238101">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had Iskandarov">
    <w15:presenceInfo w15:providerId="Windows Live" w15:userId="aa9a9100440c78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21B"/>
    <w:rsid w:val="000A1210"/>
    <w:rsid w:val="0011421B"/>
    <w:rsid w:val="00157C0C"/>
    <w:rsid w:val="001D75F3"/>
    <w:rsid w:val="00251143"/>
    <w:rsid w:val="0026443A"/>
    <w:rsid w:val="002A152D"/>
    <w:rsid w:val="002A377C"/>
    <w:rsid w:val="003173CE"/>
    <w:rsid w:val="003211CD"/>
    <w:rsid w:val="003F001A"/>
    <w:rsid w:val="004971F2"/>
    <w:rsid w:val="004F37D2"/>
    <w:rsid w:val="005507FC"/>
    <w:rsid w:val="0058688D"/>
    <w:rsid w:val="006121CC"/>
    <w:rsid w:val="0061496C"/>
    <w:rsid w:val="006C1F6C"/>
    <w:rsid w:val="00773A92"/>
    <w:rsid w:val="007D0AC7"/>
    <w:rsid w:val="008029D1"/>
    <w:rsid w:val="008F317D"/>
    <w:rsid w:val="009131B5"/>
    <w:rsid w:val="00927C08"/>
    <w:rsid w:val="009450A2"/>
    <w:rsid w:val="0096169A"/>
    <w:rsid w:val="00993925"/>
    <w:rsid w:val="00A063CA"/>
    <w:rsid w:val="00A064BA"/>
    <w:rsid w:val="00A466F0"/>
    <w:rsid w:val="00A93AFA"/>
    <w:rsid w:val="00AA7746"/>
    <w:rsid w:val="00AB2FE6"/>
    <w:rsid w:val="00B034F4"/>
    <w:rsid w:val="00B043B8"/>
    <w:rsid w:val="00B458B5"/>
    <w:rsid w:val="00B53589"/>
    <w:rsid w:val="00B80C93"/>
    <w:rsid w:val="00C105E7"/>
    <w:rsid w:val="00C229C7"/>
    <w:rsid w:val="00C87126"/>
    <w:rsid w:val="00CD782F"/>
    <w:rsid w:val="00CE2180"/>
    <w:rsid w:val="00D04C69"/>
    <w:rsid w:val="00D90FB8"/>
    <w:rsid w:val="00EA3E4E"/>
    <w:rsid w:val="00EC517C"/>
    <w:rsid w:val="00F9025A"/>
    <w:rsid w:val="00FD65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7F7AE"/>
  <w15:chartTrackingRefBased/>
  <w15:docId w15:val="{3A87F90A-6A09-4DDB-9DED-0CA81A05A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2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42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42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2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2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2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2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2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2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2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42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2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2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2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2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2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2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21B"/>
    <w:rPr>
      <w:rFonts w:eastAsiaTheme="majorEastAsia" w:cstheme="majorBidi"/>
      <w:color w:val="272727" w:themeColor="text1" w:themeTint="D8"/>
    </w:rPr>
  </w:style>
  <w:style w:type="paragraph" w:styleId="Title">
    <w:name w:val="Title"/>
    <w:basedOn w:val="Normal"/>
    <w:next w:val="Normal"/>
    <w:link w:val="TitleChar"/>
    <w:uiPriority w:val="10"/>
    <w:qFormat/>
    <w:rsid w:val="001142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2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2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2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21B"/>
    <w:pPr>
      <w:spacing w:before="160"/>
      <w:jc w:val="center"/>
    </w:pPr>
    <w:rPr>
      <w:i/>
      <w:iCs/>
      <w:color w:val="404040" w:themeColor="text1" w:themeTint="BF"/>
    </w:rPr>
  </w:style>
  <w:style w:type="character" w:customStyle="1" w:styleId="QuoteChar">
    <w:name w:val="Quote Char"/>
    <w:basedOn w:val="DefaultParagraphFont"/>
    <w:link w:val="Quote"/>
    <w:uiPriority w:val="29"/>
    <w:rsid w:val="0011421B"/>
    <w:rPr>
      <w:i/>
      <w:iCs/>
      <w:color w:val="404040" w:themeColor="text1" w:themeTint="BF"/>
    </w:rPr>
  </w:style>
  <w:style w:type="paragraph" w:styleId="ListParagraph">
    <w:name w:val="List Paragraph"/>
    <w:basedOn w:val="Normal"/>
    <w:uiPriority w:val="34"/>
    <w:qFormat/>
    <w:rsid w:val="0011421B"/>
    <w:pPr>
      <w:ind w:left="720"/>
      <w:contextualSpacing/>
    </w:pPr>
  </w:style>
  <w:style w:type="character" w:styleId="IntenseEmphasis">
    <w:name w:val="Intense Emphasis"/>
    <w:basedOn w:val="DefaultParagraphFont"/>
    <w:uiPriority w:val="21"/>
    <w:qFormat/>
    <w:rsid w:val="0011421B"/>
    <w:rPr>
      <w:i/>
      <w:iCs/>
      <w:color w:val="0F4761" w:themeColor="accent1" w:themeShade="BF"/>
    </w:rPr>
  </w:style>
  <w:style w:type="paragraph" w:styleId="IntenseQuote">
    <w:name w:val="Intense Quote"/>
    <w:basedOn w:val="Normal"/>
    <w:next w:val="Normal"/>
    <w:link w:val="IntenseQuoteChar"/>
    <w:uiPriority w:val="30"/>
    <w:qFormat/>
    <w:rsid w:val="001142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21B"/>
    <w:rPr>
      <w:i/>
      <w:iCs/>
      <w:color w:val="0F4761" w:themeColor="accent1" w:themeShade="BF"/>
    </w:rPr>
  </w:style>
  <w:style w:type="character" w:styleId="IntenseReference">
    <w:name w:val="Intense Reference"/>
    <w:basedOn w:val="DefaultParagraphFont"/>
    <w:uiPriority w:val="32"/>
    <w:qFormat/>
    <w:rsid w:val="0011421B"/>
    <w:rPr>
      <w:b/>
      <w:bCs/>
      <w:smallCaps/>
      <w:color w:val="0F4761" w:themeColor="accent1" w:themeShade="BF"/>
      <w:spacing w:val="5"/>
    </w:rPr>
  </w:style>
  <w:style w:type="character" w:styleId="PlaceholderText">
    <w:name w:val="Placeholder Text"/>
    <w:basedOn w:val="DefaultParagraphFont"/>
    <w:uiPriority w:val="99"/>
    <w:semiHidden/>
    <w:rsid w:val="00A063CA"/>
    <w:rPr>
      <w:color w:val="666666"/>
    </w:rPr>
  </w:style>
  <w:style w:type="character" w:styleId="CommentReference">
    <w:name w:val="annotation reference"/>
    <w:basedOn w:val="DefaultParagraphFont"/>
    <w:uiPriority w:val="99"/>
    <w:semiHidden/>
    <w:unhideWhenUsed/>
    <w:rsid w:val="00A064BA"/>
    <w:rPr>
      <w:sz w:val="16"/>
      <w:szCs w:val="16"/>
    </w:rPr>
  </w:style>
  <w:style w:type="paragraph" w:styleId="CommentText">
    <w:name w:val="annotation text"/>
    <w:basedOn w:val="Normal"/>
    <w:link w:val="CommentTextChar"/>
    <w:uiPriority w:val="99"/>
    <w:unhideWhenUsed/>
    <w:rsid w:val="00A064BA"/>
    <w:pPr>
      <w:spacing w:line="240" w:lineRule="auto"/>
    </w:pPr>
    <w:rPr>
      <w:sz w:val="20"/>
      <w:szCs w:val="20"/>
    </w:rPr>
  </w:style>
  <w:style w:type="character" w:customStyle="1" w:styleId="CommentTextChar">
    <w:name w:val="Comment Text Char"/>
    <w:basedOn w:val="DefaultParagraphFont"/>
    <w:link w:val="CommentText"/>
    <w:uiPriority w:val="99"/>
    <w:rsid w:val="00A064BA"/>
    <w:rPr>
      <w:sz w:val="20"/>
      <w:szCs w:val="20"/>
    </w:rPr>
  </w:style>
  <w:style w:type="paragraph" w:styleId="CommentSubject">
    <w:name w:val="annotation subject"/>
    <w:basedOn w:val="CommentText"/>
    <w:next w:val="CommentText"/>
    <w:link w:val="CommentSubjectChar"/>
    <w:uiPriority w:val="99"/>
    <w:semiHidden/>
    <w:unhideWhenUsed/>
    <w:rsid w:val="00A064BA"/>
    <w:rPr>
      <w:b/>
      <w:bCs/>
    </w:rPr>
  </w:style>
  <w:style w:type="character" w:customStyle="1" w:styleId="CommentSubjectChar">
    <w:name w:val="Comment Subject Char"/>
    <w:basedOn w:val="CommentTextChar"/>
    <w:link w:val="CommentSubject"/>
    <w:uiPriority w:val="99"/>
    <w:semiHidden/>
    <w:rsid w:val="00A064BA"/>
    <w:rPr>
      <w:b/>
      <w:bCs/>
      <w:sz w:val="20"/>
      <w:szCs w:val="20"/>
    </w:rPr>
  </w:style>
  <w:style w:type="paragraph" w:styleId="NormalWeb">
    <w:name w:val="Normal (Web)"/>
    <w:basedOn w:val="Normal"/>
    <w:uiPriority w:val="99"/>
    <w:semiHidden/>
    <w:unhideWhenUsed/>
    <w:rsid w:val="00EC517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2688</Words>
  <Characters>15326</Characters>
  <Application>Microsoft Office Word</Application>
  <DocSecurity>0</DocSecurity>
  <Lines>127</Lines>
  <Paragraphs>35</Paragraphs>
  <ScaleCrop>false</ScaleCrop>
  <Company/>
  <LinksUpToDate>false</LinksUpToDate>
  <CharactersWithSpaces>17979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Nihad Iskandarov</dc:creator>
  <cp:keywords/>
  <dc:description/>
  <cp:lastModifiedBy>Nihad Iskandarov</cp:lastModifiedBy>
  <cp:revision>2</cp:revision>
  <dcterms:created xsi:type="dcterms:W3CDTF">2026-02-07T07:36:00Z</dcterms:created>
  <dcterms:modified xsi:type="dcterms:W3CDTF">2026-02-07T07:36:00Z</dcterms:modified>
</cp:coreProperties>
</file>