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
      </w:pPr>
      <w:r>
        <w:t xml:space="preserve"/>
      </w:r>
    </w:p>
    <w:p>
      <w:pPr>
        <w:spacing w:after="60" w:before="0"/>
        <w:jc w:val="center"/>
      </w:pPr>
      <w:r>
        <w:rPr>
          <w:rFonts w:ascii="Arial" w:cs="Arial" w:eastAsia="Arial" w:hAnsi="Arial"/>
          <w:b/>
          <w:bCs/>
          <w:sz w:val="34"/>
          <w:szCs w:val="34"/>
        </w:rPr>
        <w:t xml:space="preserve">BNP PARIBAS EL DJAZAIR</w:t>
      </w:r>
    </w:p>
    <w:p>
      <w:pPr>
        <w:spacing w:after="100" w:before="0"/>
        <w:jc w:val="center"/>
      </w:pPr>
      <w:r>
        <w:rPr>
          <w:rFonts w:ascii="Arial" w:cs="Arial" w:eastAsia="Arial" w:hAnsi="Arial"/>
          <w:color w:val="555555"/>
          <w:sz w:val="22"/>
          <w:szCs w:val="22"/>
        </w:rPr>
        <w:t xml:space="preserve">Data Office  —  Alger, Algérie</w:t>
      </w:r>
    </w:p>
    <w:p>
      <w:pPr>
        <w:pBdr>
          <w:bottom w:val="single" w:color="CCCCCC" w:sz="2" w:space="1"/>
        </w:pBdr>
        <w:spacing w:after="160" w:before="160"/>
      </w:pPr>
      <w:r>
        <w:t xml:space="preserve"/>
      </w:r>
    </w:p>
    <w:p>
      <w:pPr>
        <w:spacing w:after="60" w:before="120"/>
        <w:jc w:val="center"/>
      </w:pPr>
      <w:r>
        <w:rPr>
          <w:rFonts w:ascii="Arial" w:cs="Arial" w:eastAsia="Arial" w:hAnsi="Arial"/>
          <w:b/>
          <w:bCs/>
          <w:sz w:val="27"/>
          <w:szCs w:val="27"/>
        </w:rPr>
        <w:t xml:space="preserve">RAPPORT DE CONTRIBUTIONS ET D’IMPACT PROFESSIONNEL</w:t>
      </w:r>
    </w:p>
    <w:p>
      <w:pPr>
        <w:spacing w:after="220" w:before="0"/>
        <w:jc w:val="center"/>
      </w:pPr>
      <w:r>
        <w:rPr>
          <w:rFonts w:ascii="Arial" w:cs="Arial" w:eastAsia="Arial" w:hAnsi="Arial"/>
          <w:i/>
          <w:iCs/>
          <w:color w:val="555555"/>
          <w:sz w:val="21"/>
          <w:szCs w:val="21"/>
        </w:rPr>
        <w:t xml:space="preserve">Décembre 2022 – Avril 2026</w:t>
      </w:r>
    </w:p>
    <w:p>
      <w:pPr>
        <w:spacing w:after="40" w:before="0"/>
        <w:jc w:val="center"/>
      </w:pPr>
      <w:r>
        <w:rPr>
          <w:rFonts w:ascii="Arial" w:cs="Arial" w:eastAsia="Arial" w:hAnsi="Arial"/>
          <w:b/>
          <w:bCs/>
          <w:sz w:val="28"/>
          <w:szCs w:val="28"/>
        </w:rPr>
        <w:t xml:space="preserve">Nihad Senhadji</w:t>
      </w:r>
    </w:p>
    <w:p>
      <w:pPr>
        <w:spacing w:after="40" w:before="0"/>
        <w:jc w:val="center"/>
      </w:pPr>
      <w:r>
        <w:rPr>
          <w:rFonts w:ascii="Arial" w:cs="Arial" w:eastAsia="Arial" w:hAnsi="Arial"/>
          <w:i/>
          <w:iCs/>
          <w:color w:val="555555"/>
          <w:sz w:val="21"/>
          <w:szCs w:val="21"/>
        </w:rPr>
        <w:t xml:space="preserve">Data Scientist &amp; Ingénieur IA  —  Data Office</w:t>
      </w:r>
    </w:p>
    <w:p>
      <w:pPr>
        <w:spacing w:after="40" w:before="0"/>
        <w:jc w:val="center"/>
      </w:pPr>
      <w:r>
        <w:rPr>
          <w:rFonts w:ascii="Arial" w:cs="Arial" w:eastAsia="Arial" w:hAnsi="Arial"/>
          <w:color w:val="777777"/>
          <w:sz w:val="19"/>
          <w:szCs w:val="19"/>
        </w:rPr>
        <w:t xml:space="preserve">nihadsenhadji18@gmail.com  |  +213 778 055 480</w:t>
      </w:r>
    </w:p>
    <w:p>
      <w:pPr>
        <w:spacing w:after="60" w:before="60"/>
        <w:jc w:val="both"/>
      </w:pPr>
      <w:r>
        <w:rPr>
          <w:rFonts w:ascii="Arial" w:cs="Arial" w:eastAsia="Arial" w:hAnsi="Arial"/>
          <w:sz w:val="20"/>
          <w:szCs w:val="20"/>
        </w:rPr>
        <w:t xml:space="preserve">Je soussigné(e), [Nom du responsable / DRH], agissant en qualité de [Poste] au sein de BNP Paribas El Djazâir, atteste que M. Nihad Senhadji a exercé au sein de notre établissement du décembre 2022 au avril 2026, d’abord en tant que Responsable des Fonctions Administratives de l’Entité (décembre 2022 – décembre 2023), puis en tant qu’Analyste de Données au sein du Data Office (décembre 2023 – avril 2026), et que les contributions professionnelles, systèmes d’intelligence artificielle et impacts mesurables documentés dans ce rapport reflètent fidèlement les travaux réalisés au cours de sa période d’activité.</w:t>
      </w:r>
    </w:p>
    <w:p>
      <w:pPr>
        <w:spacing w:after="0" w:before="60"/>
      </w:pPr>
      <w:r>
        <w:t xml:space="preserve"/>
      </w:r>
    </w:p>
    <w:p>
      <w:r>
        <w:br w:type="page"/>
      </w:r>
    </w:p>
    <w:p>
      <w:pPr>
        <w:pStyle w:val="Heading1"/>
        <w:pBdr>
          <w:bottom w:val="single" w:color="111111" w:sz="5" w:space="4"/>
        </w:pBdr>
        <w:spacing w:after="100" w:before="400"/>
      </w:pPr>
      <w:r>
        <w:rPr>
          <w:rFonts w:ascii="Arial" w:cs="Arial" w:eastAsia="Arial" w:hAnsi="Arial"/>
          <w:b/>
          <w:bCs/>
          <w:color w:val="111111"/>
          <w:sz w:val="27"/>
          <w:szCs w:val="27"/>
        </w:rPr>
        <w:t xml:space="preserve">1. Présentation Professionnelle</w:t>
      </w:r>
    </w:p>
    <w:p>
      <w:pPr>
        <w:spacing w:after="60" w:before="60"/>
      </w:pPr>
      <w:r>
        <w:rPr>
          <w:rFonts w:ascii="Arial" w:cs="Arial" w:eastAsia="Arial" w:hAnsi="Arial"/>
          <w:sz w:val="20"/>
          <w:szCs w:val="20"/>
        </w:rPr>
        <w:t xml:space="preserve">Nihad Senhadji est un Data Scientist et Ingénieur IA accompli, fort de plus de trois années d’expérience dans le développement de solutions d’IA opérationnelles à fort impact métier. Il a occupé deux postes successifs au sein de BNP Paribas El Djazaïr de décembre 2022 à avril 2026 : Responsable des Fonctions Administratives de l’Entité (décembre 2022 – décembre 2023), puis Analyste de Données au sein du Data Office (décembre 2023 – avril 2026).</w:t>
      </w:r>
    </w:p>
    <w:p>
      <w:pPr>
        <w:spacing w:after="0" w:before="60"/>
      </w:pPr>
      <w:r>
        <w:t xml:space="preserve"/>
      </w:r>
    </w:p>
    <w:p>
      <w:pPr>
        <w:spacing w:after="60" w:before="60"/>
      </w:pPr>
      <w:r>
        <w:rPr>
          <w:rFonts w:ascii="Arial" w:cs="Arial" w:eastAsia="Arial" w:hAnsi="Arial"/>
          <w:sz w:val="20"/>
          <w:szCs w:val="20"/>
        </w:rPr>
        <w:t xml:space="preserve">Tout au long de ces deux missions, il a exercé en tant que principal ingénieur IA et responsable de l’innovation de l’entité, concevant, développant et déployant de manière autonome des systèmes de niveau production couvrant l’IA générative, le NLP, la génération augmentée par récupération (RAG), les modèles vision-langage et l’analytique de graphes. Son expertise couvre l’intégralité du cycle de vie de l’IA, de l’architecture et de la sélection des modèles jusqu’au développement d’API, à l’optimisation de l’inférence et au déploiement en production dans un environnement bancaire international réglementé.</w:t>
      </w:r>
    </w:p>
    <w:p>
      <w:pPr>
        <w:spacing w:after="0" w:before="60"/>
      </w:pPr>
      <w:r>
        <w:t xml:space="preserve"/>
      </w:r>
    </w:p>
    <w:p>
      <w:pPr>
        <w:spacing w:after="60" w:before="60"/>
      </w:pPr>
      <w:r>
        <w:rPr>
          <w:rFonts w:ascii="Arial" w:cs="Arial" w:eastAsia="Arial" w:hAnsi="Arial"/>
          <w:sz w:val="20"/>
          <w:szCs w:val="20"/>
        </w:rPr>
        <w:t xml:space="preserve">En juillet 2025, il a été sélectionné pour le Workshop IA exclusif de BNP Paribas à Paris, parmi les rares professionnels choisis à l’échelle mondiale pour contribuer à la stratégie des Agents IA et à la feuille de route de déploiement des LLM du Groupe. Cette reconnaissance témoigne de la visibilité et de la qualité de son travail au sein du réseau BNP Paribas.</w:t>
      </w:r>
    </w:p>
    <w:p>
      <w:pPr>
        <w:spacing w:after="0" w:before="120"/>
      </w:pPr>
      <w:r>
        <w:t xml:space="preserve"/>
      </w:r>
    </w:p>
    <w:p>
      <w:pPr>
        <w:pStyle w:val="Heading1"/>
        <w:pBdr>
          <w:bottom w:val="single" w:color="111111" w:sz="5" w:space="4"/>
        </w:pBdr>
        <w:spacing w:after="100" w:before="400"/>
      </w:pPr>
      <w:r>
        <w:rPr>
          <w:rFonts w:ascii="Arial" w:cs="Arial" w:eastAsia="Arial" w:hAnsi="Arial"/>
          <w:b/>
          <w:bCs/>
          <w:color w:val="111111"/>
          <w:sz w:val="27"/>
          <w:szCs w:val="27"/>
        </w:rPr>
        <w:t xml:space="preserve">2. Contributions Clés et Synthèse d’Impact</w:t>
      </w:r>
    </w:p>
    <w:p>
      <w:pPr>
        <w:spacing w:after="60" w:before="60"/>
      </w:pPr>
      <w:r>
        <w:rPr>
          <w:rFonts w:ascii="Arial" w:cs="Arial" w:eastAsia="Arial" w:hAnsi="Arial"/>
          <w:b/>
          <w:bCs/>
          <w:sz w:val="20"/>
          <w:szCs w:val="20"/>
        </w:rPr>
        <w:t xml:space="preserve">Stratégie IA &amp; Leadership</w:t>
      </w:r>
    </w:p>
    <w:p>
      <w:pPr>
        <w:pStyle w:val="ListParagraph"/>
        <w:numPr>
          <w:ilvl w:val="0"/>
          <w:numId w:val="2"/>
        </w:numPr>
        <w:spacing w:after="50" w:before="50"/>
      </w:pPr>
      <w:r>
        <w:rPr>
          <w:rFonts w:ascii="Arial" w:cs="Arial" w:eastAsia="Arial" w:hAnsi="Arial"/>
          <w:sz w:val="20"/>
          <w:szCs w:val="20"/>
        </w:rPr>
        <w:t xml:space="preserve">Sélectionné pour le Workshop IA Mondial de BNP Paribas à Paris (juillet 2025), parmi les rares professionnels choisis à l’échelle mondiale pour participer à la stratégie des Agents IA du Groupe.</w:t>
      </w:r>
    </w:p>
    <w:p>
      <w:pPr>
        <w:pStyle w:val="ListParagraph"/>
        <w:numPr>
          <w:ilvl w:val="0"/>
          <w:numId w:val="2"/>
        </w:numPr>
        <w:spacing w:after="50" w:before="50"/>
      </w:pPr>
      <w:r>
        <w:rPr>
          <w:rFonts w:ascii="Arial" w:cs="Arial" w:eastAsia="Arial" w:hAnsi="Arial"/>
          <w:sz w:val="20"/>
          <w:szCs w:val="20"/>
        </w:rPr>
        <w:t xml:space="preserve">Seul représentant de BNP Paribas El Djazaïr lors des ateliers hebdomadaires d’innovation IA avec les équipes de Microsoft, OpenAI et Azure AI.</w:t>
      </w:r>
    </w:p>
    <w:p>
      <w:pPr>
        <w:pStyle w:val="ListParagraph"/>
        <w:numPr>
          <w:ilvl w:val="0"/>
          <w:numId w:val="2"/>
        </w:numPr>
        <w:spacing w:after="50" w:before="50"/>
      </w:pPr>
      <w:r>
        <w:rPr>
          <w:rFonts w:ascii="Arial" w:cs="Arial" w:eastAsia="Arial" w:hAnsi="Arial"/>
          <w:sz w:val="20"/>
          <w:szCs w:val="20"/>
        </w:rPr>
        <w:t xml:space="preserve">Accompagnement des équipes de la compétition Data Cup sponsorisée par BNP Paribas, en encadrant les participants dans la résolution de problématiques métier réelles à l’aide de techniques avancées d’IA.</w:t>
      </w:r>
    </w:p>
    <w:p>
      <w:pPr>
        <w:pStyle w:val="ListParagraph"/>
        <w:numPr>
          <w:ilvl w:val="0"/>
          <w:numId w:val="2"/>
        </w:numPr>
        <w:spacing w:after="50" w:before="50"/>
      </w:pPr>
      <w:r>
        <w:rPr>
          <w:rFonts w:ascii="Arial" w:cs="Arial" w:eastAsia="Arial" w:hAnsi="Arial"/>
          <w:sz w:val="20"/>
          <w:szCs w:val="20"/>
        </w:rPr>
        <w:t xml:space="preserve">Encadrement de deux étudiants en master dans la conception et le déploiement d’un Agent IA RAG en production pour BNP Paribas El Djazaïr.</w:t>
      </w:r>
    </w:p>
    <w:p>
      <w:pPr>
        <w:spacing w:after="0" w:before="80"/>
      </w:pPr>
      <w:r>
        <w:t xml:space="preserve"/>
      </w:r>
    </w:p>
    <w:p>
      <w:pPr>
        <w:spacing w:after="60" w:before="60"/>
      </w:pPr>
      <w:r>
        <w:rPr>
          <w:rFonts w:ascii="Arial" w:cs="Arial" w:eastAsia="Arial" w:hAnsi="Arial"/>
          <w:b/>
          <w:bCs/>
          <w:sz w:val="20"/>
          <w:szCs w:val="20"/>
        </w:rPr>
        <w:t xml:space="preserve">Systèmes IA en Production</w:t>
      </w:r>
    </w:p>
    <w:p>
      <w:pPr>
        <w:pStyle w:val="ListParagraph"/>
        <w:numPr>
          <w:ilvl w:val="0"/>
          <w:numId w:val="2"/>
        </w:numPr>
        <w:spacing w:after="50" w:before="50"/>
      </w:pPr>
      <w:r>
        <w:rPr>
          <w:rFonts w:ascii="Arial" w:cs="Arial" w:eastAsia="Arial" w:hAnsi="Arial"/>
          <w:sz w:val="20"/>
          <w:szCs w:val="20"/>
        </w:rPr>
        <w:t xml:space="preserve">IA-DECAD : Réduction du traitement annuel de conformité de 3 528 heures à 6 heures (réduction de 99,8 %) — libération de 5 ETP, élimination de 244,8 jours-personnes de travail manuel par an.</w:t>
      </w:r>
    </w:p>
    <w:p>
      <w:pPr>
        <w:pStyle w:val="ListParagraph"/>
        <w:numPr>
          <w:ilvl w:val="0"/>
          <w:numId w:val="2"/>
        </w:numPr>
        <w:spacing w:after="50" w:before="50"/>
      </w:pPr>
      <w:r>
        <w:rPr>
          <w:rFonts w:ascii="Arial" w:cs="Arial" w:eastAsia="Arial" w:hAnsi="Arial"/>
          <w:sz w:val="20"/>
          <w:szCs w:val="20"/>
        </w:rPr>
        <w:t xml:space="preserve">SentinelIA : Détection de fraude par analyse de graphes révélant des schémas dans les réseaux de transactions, éliminant environ 460 jours-personnes d’analyse manuelle par an.</w:t>
      </w:r>
    </w:p>
    <w:p>
      <w:pPr>
        <w:pStyle w:val="ListParagraph"/>
        <w:numPr>
          <w:ilvl w:val="0"/>
          <w:numId w:val="2"/>
        </w:numPr>
        <w:spacing w:after="50" w:before="50"/>
      </w:pPr>
      <w:r>
        <w:rPr>
          <w:rFonts w:ascii="Arial" w:cs="Arial" w:eastAsia="Arial" w:hAnsi="Arial"/>
          <w:sz w:val="20"/>
          <w:szCs w:val="20"/>
        </w:rPr>
        <w:t xml:space="preserve">RAG BNP ED : Réduction du temps de recherche d’information des collaborateurs de 5 minutes 40 secondes à 6 secondes par requête (réduction de 94 %) sur plus de 30 000 recherches annuelles, avec plus de 150 000 pages indexées.</w:t>
      </w:r>
    </w:p>
    <w:p>
      <w:pPr>
        <w:pStyle w:val="ListParagraph"/>
        <w:numPr>
          <w:ilvl w:val="0"/>
          <w:numId w:val="2"/>
        </w:numPr>
        <w:spacing w:after="50" w:before="50"/>
      </w:pPr>
      <w:r>
        <w:rPr>
          <w:rFonts w:ascii="Arial" w:cs="Arial" w:eastAsia="Arial" w:hAnsi="Arial"/>
          <w:sz w:val="20"/>
          <w:szCs w:val="20"/>
        </w:rPr>
        <w:t xml:space="preserve">LLM Write-Bot : Réduction de l’équipe de rédaction de procédures de 5 à 1 ETP (réduction de 80 %) lors de la migration du système core-banking — suppression totale de la rédaction manuelle.</w:t>
      </w:r>
    </w:p>
    <w:p>
      <w:pPr>
        <w:pStyle w:val="ListParagraph"/>
        <w:numPr>
          <w:ilvl w:val="0"/>
          <w:numId w:val="2"/>
        </w:numPr>
        <w:spacing w:after="50" w:before="50"/>
      </w:pPr>
      <w:r>
        <w:rPr>
          <w:rFonts w:ascii="Arial" w:cs="Arial" w:eastAsia="Arial" w:hAnsi="Arial"/>
          <w:sz w:val="20"/>
          <w:szCs w:val="20"/>
        </w:rPr>
        <w:t xml:space="preserve">Pipeline de Traduction : Réduction du traitement de plus de 300 noms par jour d’une journée complète de travail (4 agents) à moins de 3 minutes (réduction de 98 %).</w:t>
      </w:r>
    </w:p>
    <w:p>
      <w:pPr>
        <w:pStyle w:val="ListParagraph"/>
        <w:numPr>
          <w:ilvl w:val="0"/>
          <w:numId w:val="2"/>
        </w:numPr>
        <w:spacing w:after="50" w:before="50"/>
      </w:pPr>
      <w:r>
        <w:rPr>
          <w:rFonts w:ascii="Arial" w:cs="Arial" w:eastAsia="Arial" w:hAnsi="Arial"/>
          <w:sz w:val="20"/>
          <w:szCs w:val="20"/>
        </w:rPr>
        <w:t xml:space="preserve">Pipeline OCR : Optimisation de l’inférence VLM de ~15 minutes par page à moins d’une minute pour l’extraction de documents juridiques arabe/français.</w:t>
      </w:r>
    </w:p>
    <w:p>
      <w:pPr>
        <w:spacing w:after="0" w:before="80"/>
      </w:pPr>
      <w:r>
        <w:t xml:space="preserve"/>
      </w:r>
    </w:p>
    <w:p>
      <w:pPr>
        <w:spacing w:after="60" w:before="60"/>
      </w:pPr>
      <w:r>
        <w:rPr>
          <w:rFonts w:ascii="Arial" w:cs="Arial" w:eastAsia="Arial" w:hAnsi="Arial"/>
          <w:b/>
          <w:bCs/>
          <w:sz w:val="20"/>
          <w:szCs w:val="20"/>
        </w:rPr>
        <w:t xml:space="preserve">Ingénierie des Données &amp; Automatisation</w:t>
      </w:r>
    </w:p>
    <w:p>
      <w:pPr>
        <w:pStyle w:val="ListParagraph"/>
        <w:numPr>
          <w:ilvl w:val="0"/>
          <w:numId w:val="2"/>
        </w:numPr>
        <w:spacing w:after="50" w:before="50"/>
      </w:pPr>
      <w:r>
        <w:rPr>
          <w:rFonts w:ascii="Arial" w:cs="Arial" w:eastAsia="Arial" w:hAnsi="Arial"/>
          <w:sz w:val="20"/>
          <w:szCs w:val="20"/>
        </w:rPr>
        <w:t xml:space="preserve">Livraison de plus de 30 Automatisations de Processus Analytiques (APA) via Alteryx, remplaçant des flux de reporting entièrement manuels dans tous les départements par des rapports automatisés validés et prêts pour la production.</w:t>
      </w:r>
    </w:p>
    <w:p>
      <w:pPr>
        <w:pStyle w:val="ListParagraph"/>
        <w:numPr>
          <w:ilvl w:val="0"/>
          <w:numId w:val="2"/>
        </w:numPr>
        <w:spacing w:after="50" w:before="50"/>
      </w:pPr>
      <w:r>
        <w:rPr>
          <w:rFonts w:ascii="Arial" w:cs="Arial" w:eastAsia="Arial" w:hAnsi="Arial"/>
          <w:sz w:val="20"/>
          <w:szCs w:val="20"/>
        </w:rPr>
        <w:t xml:space="preserve">Conception et maintenance de pipelines d’extraction SQL complexes pour la livraison de jeux de données spécialisés à plusieurs départements de la banque, nécessitant une connaissance approfondie des structures de données sensibles.</w:t>
      </w:r>
    </w:p>
    <w:p>
      <w:pPr>
        <w:pStyle w:val="ListParagraph"/>
        <w:numPr>
          <w:ilvl w:val="0"/>
          <w:numId w:val="2"/>
        </w:numPr>
        <w:spacing w:after="50" w:before="50"/>
      </w:pPr>
      <w:r>
        <w:rPr>
          <w:rFonts w:ascii="Arial" w:cs="Arial" w:eastAsia="Arial" w:hAnsi="Arial"/>
          <w:sz w:val="20"/>
          <w:szCs w:val="20"/>
        </w:rPr>
        <w:t xml:space="preserve">Pilotage des évaluations de qualité des données, des processus de nettoyage et de la mise en œuvre des KPI, avec livraison mensuelle de rapports d’anomalies à tous les départements pour soutenir leurs programmes de remédiation des données.</w:t>
      </w:r>
    </w:p>
    <w:p>
      <w:r>
        <w:br w:type="page"/>
      </w:r>
    </w:p>
    <w:p>
      <w:pPr>
        <w:pStyle w:val="Heading1"/>
        <w:pBdr>
          <w:bottom w:val="single" w:color="111111" w:sz="5" w:space="4"/>
        </w:pBdr>
        <w:spacing w:after="100" w:before="400"/>
      </w:pPr>
      <w:r>
        <w:rPr>
          <w:rFonts w:ascii="Arial" w:cs="Arial" w:eastAsia="Arial" w:hAnsi="Arial"/>
          <w:b/>
          <w:bCs/>
          <w:color w:val="111111"/>
          <w:sz w:val="27"/>
          <w:szCs w:val="27"/>
        </w:rPr>
        <w:t xml:space="preserve">3. Portefeuille de Projets Détaillé</w:t>
      </w:r>
    </w:p>
    <w:p>
      <w:pPr>
        <w:pStyle w:val="Heading2"/>
        <w:spacing w:after="80" w:before="260"/>
      </w:pPr>
      <w:r>
        <w:rPr>
          <w:rFonts w:ascii="Arial" w:cs="Arial" w:eastAsia="Arial" w:hAnsi="Arial"/>
          <w:b/>
          <w:bCs/>
          <w:color w:val="222222"/>
          <w:sz w:val="23"/>
          <w:szCs w:val="23"/>
        </w:rPr>
        <w:t xml:space="preserve">3.1  IA-DECAD — Système de Conformité NLP Réglementaire</w:t>
      </w:r>
    </w:p>
    <w:p>
      <w:pPr>
        <w:spacing w:after="60" w:before="60"/>
      </w:pPr>
      <w:r>
        <w:rPr>
          <w:rFonts w:ascii="Arial" w:cs="Arial" w:eastAsia="Arial" w:hAnsi="Arial"/>
          <w:b/>
          <w:bCs/>
          <w:sz w:val="20"/>
          <w:szCs w:val="20"/>
        </w:rPr>
        <w:t xml:space="preserve">Contexte &amp; Problématique.  </w:t>
      </w:r>
      <w:r>
        <w:rPr>
          <w:rFonts w:ascii="Arial" w:cs="Arial" w:eastAsia="Arial" w:hAnsi="Arial"/>
          <w:sz w:val="20"/>
          <w:szCs w:val="20"/>
        </w:rPr>
        <w:t xml:space="preserve">La réglementation de la Banque d’Algérie exige un rapprochement mensuel des personnes interdites de chéquier avec l’ensemble de la base clients. Avant l’automatisation, six agents de conformité réalisaient cette tâche manuellement sur 3,5 jours par mois, consommant 3 528 heures-personnes annuellement — un processus à fort volume, sujet aux erreurs, dans un contexte réglementaire juridiquement sensible.</w:t>
      </w:r>
    </w:p>
    <w:p>
      <w:pPr>
        <w:spacing w:after="60" w:before="60"/>
      </w:pPr>
      <w:r>
        <w:rPr>
          <w:rFonts w:ascii="Arial" w:cs="Arial" w:eastAsia="Arial" w:hAnsi="Arial"/>
          <w:b/>
          <w:bCs/>
          <w:sz w:val="20"/>
          <w:szCs w:val="20"/>
        </w:rPr>
        <w:t xml:space="preserve">Solution.  </w:t>
      </w:r>
      <w:r>
        <w:rPr>
          <w:rFonts w:ascii="Arial" w:cs="Arial" w:eastAsia="Arial" w:hAnsi="Arial"/>
          <w:sz w:val="20"/>
          <w:szCs w:val="20"/>
        </w:rPr>
        <w:t xml:space="preserve">Développement d’un système NLP en production réalisant un scoring de similarité sémantique et une résolution d’entités sur plus de 2 000 noms arabes et français mensuellement, par rapport à la liste d’interdiction de chéquier de la Banque d’Algérie, avec validation par date de naissance pour confirmer l’identité des individus dans la base clients.</w:t>
      </w:r>
    </w:p>
    <w:p>
      <w:pPr>
        <w:spacing w:after="60" w:before="60"/>
      </w:pPr>
      <w:r>
        <w:rPr>
          <w:rFonts w:ascii="Arial" w:cs="Arial" w:eastAsia="Arial" w:hAnsi="Arial"/>
          <w:b/>
          <w:bCs/>
          <w:sz w:val="20"/>
          <w:szCs w:val="20"/>
        </w:rPr>
        <w:t xml:space="preserve">Technologies.  </w:t>
      </w:r>
      <w:r>
        <w:rPr>
          <w:rFonts w:ascii="Arial" w:cs="Arial" w:eastAsia="Arial" w:hAnsi="Arial"/>
          <w:sz w:val="20"/>
          <w:szCs w:val="20"/>
        </w:rPr>
        <w:t xml:space="preserve">Python, similarité sémantique, correspondance floue, résolution d’entités, NLP multilingue arabe/français, pipeline de reporting automatisé.</w:t>
      </w:r>
    </w:p>
    <w:p>
      <w:pPr>
        <w:spacing w:after="0" w:before="120"/>
      </w:pPr>
      <w:r>
        <w:t xml:space="preserve"/>
      </w:r>
    </w:p>
    <w:p>
      <w:pPr>
        <w:pStyle w:val="Heading2"/>
        <w:spacing w:after="80" w:before="260"/>
      </w:pPr>
      <w:r>
        <w:rPr>
          <w:rFonts w:ascii="Arial" w:cs="Arial" w:eastAsia="Arial" w:hAnsi="Arial"/>
          <w:b/>
          <w:bCs/>
          <w:color w:val="222222"/>
          <w:sz w:val="23"/>
          <w:szCs w:val="23"/>
        </w:rPr>
        <w:t xml:space="preserve">3.2  RAG BNP ED — Chatbot de Gestion des Connaissances d’Entreprise</w:t>
      </w:r>
    </w:p>
    <w:p>
      <w:pPr>
        <w:spacing w:after="60" w:before="60"/>
      </w:pPr>
      <w:r>
        <w:rPr>
          <w:rFonts w:ascii="Arial" w:cs="Arial" w:eastAsia="Arial" w:hAnsi="Arial"/>
          <w:b/>
          <w:bCs/>
          <w:sz w:val="20"/>
          <w:szCs w:val="20"/>
        </w:rPr>
        <w:t xml:space="preserve">Contexte &amp; Problématique.  </w:t>
      </w:r>
      <w:r>
        <w:rPr>
          <w:rFonts w:ascii="Arial" w:cs="Arial" w:eastAsia="Arial" w:hAnsi="Arial"/>
          <w:sz w:val="20"/>
          <w:szCs w:val="20"/>
        </w:rPr>
        <w:t xml:space="preserve">Les collaborateurs passaient en moyenne 5 minutes 40 secondes par recherche d’information dans une bibliothèque fragmentée de procédures internes et de documentation core-banking ATLAS. À grande échelle, cela représentait un frein significatif et mesurable à la productivité opérationnelle quotidienne.</w:t>
      </w:r>
    </w:p>
    <w:p>
      <w:pPr>
        <w:spacing w:after="60" w:before="60"/>
      </w:pPr>
      <w:r>
        <w:rPr>
          <w:rFonts w:ascii="Arial" w:cs="Arial" w:eastAsia="Arial" w:hAnsi="Arial"/>
          <w:b/>
          <w:bCs/>
          <w:sz w:val="20"/>
          <w:szCs w:val="20"/>
        </w:rPr>
        <w:t xml:space="preserve">Solution.  </w:t>
      </w:r>
      <w:r>
        <w:rPr>
          <w:rFonts w:ascii="Arial" w:cs="Arial" w:eastAsia="Arial" w:hAnsi="Arial"/>
          <w:sz w:val="20"/>
          <w:szCs w:val="20"/>
        </w:rPr>
        <w:t xml:space="preserve">Développement et déploiement d’un chatbot RAG en application web de production, ancrant l’API ChatGPT sur plus de 150 000 pages de procédures bancaires et de documentation ATLAS via un vector store ChromaDB et un pipeline de découpage sémantique, avec citation complète des sources sur chaque réponse.</w:t>
      </w:r>
    </w:p>
    <w:p>
      <w:pPr>
        <w:spacing w:after="60" w:before="60"/>
      </w:pPr>
      <w:r>
        <w:rPr>
          <w:rFonts w:ascii="Arial" w:cs="Arial" w:eastAsia="Arial" w:hAnsi="Arial"/>
          <w:b/>
          <w:bCs/>
          <w:sz w:val="20"/>
          <w:szCs w:val="20"/>
        </w:rPr>
        <w:t xml:space="preserve">Technologies.  </w:t>
      </w:r>
      <w:r>
        <w:rPr>
          <w:rFonts w:ascii="Arial" w:cs="Arial" w:eastAsia="Arial" w:hAnsi="Arial"/>
          <w:sz w:val="20"/>
          <w:szCs w:val="20"/>
        </w:rPr>
        <w:t xml:space="preserve">Python, LangChain, ChromaDB, API OpenAI ChatGPT, ingestion PDF, découpage sémantique, embeddings vectoriels, API REST Flask.</w:t>
      </w:r>
    </w:p>
    <w:p>
      <w:pPr>
        <w:spacing w:after="0" w:before="120"/>
      </w:pPr>
      <w:r>
        <w:t xml:space="preserve"/>
      </w:r>
    </w:p>
    <w:p>
      <w:pPr>
        <w:pStyle w:val="Heading2"/>
        <w:spacing w:after="80" w:before="260"/>
      </w:pPr>
      <w:r>
        <w:rPr>
          <w:rFonts w:ascii="Arial" w:cs="Arial" w:eastAsia="Arial" w:hAnsi="Arial"/>
          <w:b/>
          <w:bCs/>
          <w:color w:val="222222"/>
          <w:sz w:val="23"/>
          <w:szCs w:val="23"/>
        </w:rPr>
        <w:t xml:space="preserve">3.3  LLM Write-Bot — Rédaction Automatisée de Procédures</w:t>
      </w:r>
    </w:p>
    <w:p>
      <w:pPr>
        <w:spacing w:after="60" w:before="60"/>
      </w:pPr>
      <w:r>
        <w:rPr>
          <w:rFonts w:ascii="Arial" w:cs="Arial" w:eastAsia="Arial" w:hAnsi="Arial"/>
          <w:b/>
          <w:bCs/>
          <w:sz w:val="20"/>
          <w:szCs w:val="20"/>
        </w:rPr>
        <w:t xml:space="preserve">Contexte &amp; Problématique.  </w:t>
      </w:r>
      <w:r>
        <w:rPr>
          <w:rFonts w:ascii="Arial" w:cs="Arial" w:eastAsia="Arial" w:hAnsi="Arial"/>
          <w:sz w:val="20"/>
          <w:szCs w:val="20"/>
        </w:rPr>
        <w:t xml:space="preserve">Lors de la transition de BNP Paribas El Djazaïr vers un nouveau système core-banking, une équipe de cinq agents a été chargée de réécrire manuellement des centaines de documents de procédures internes pour refléter les flux opérationnels mis à jour — un travail à fort volume et sujet aux erreurs dans des délais de migration serrés.</w:t>
      </w:r>
    </w:p>
    <w:p>
      <w:pPr>
        <w:spacing w:after="60" w:before="60"/>
      </w:pPr>
      <w:r>
        <w:rPr>
          <w:rFonts w:ascii="Arial" w:cs="Arial" w:eastAsia="Arial" w:hAnsi="Arial"/>
          <w:b/>
          <w:bCs/>
          <w:sz w:val="20"/>
          <w:szCs w:val="20"/>
        </w:rPr>
        <w:t xml:space="preserve">Solution.  </w:t>
      </w:r>
      <w:r>
        <w:rPr>
          <w:rFonts w:ascii="Arial" w:cs="Arial" w:eastAsia="Arial" w:hAnsi="Arial"/>
          <w:sz w:val="20"/>
          <w:szCs w:val="20"/>
        </w:rPr>
        <w:t xml:space="preserve">Développement et déploiement d’un write-bot propulsé par LLM en production utilisant Azure OpenAI GPT-4 pour générer et mettre à jour de manière autonome les procédures bancaires sur la base d’entrées structurées, supprimant le besoin de rédaction humaine tout au long de la période de migration.</w:t>
      </w:r>
    </w:p>
    <w:p>
      <w:pPr>
        <w:spacing w:after="60" w:before="60"/>
      </w:pPr>
      <w:r>
        <w:rPr>
          <w:rFonts w:ascii="Arial" w:cs="Arial" w:eastAsia="Arial" w:hAnsi="Arial"/>
          <w:b/>
          <w:bCs/>
          <w:sz w:val="20"/>
          <w:szCs w:val="20"/>
        </w:rPr>
        <w:t xml:space="preserve">Technologies.  </w:t>
      </w:r>
      <w:r>
        <w:rPr>
          <w:rFonts w:ascii="Arial" w:cs="Arial" w:eastAsia="Arial" w:hAnsi="Arial"/>
          <w:sz w:val="20"/>
          <w:szCs w:val="20"/>
        </w:rPr>
        <w:t xml:space="preserve">Azure OpenAI GPT-4, Python, ingénierie de prompts, génération de documents structurés, intégration à la gestion des changements internes.</w:t>
      </w:r>
    </w:p>
    <w:p>
      <w:r>
        <w:br w:type="page"/>
      </w:r>
    </w:p>
    <w:p>
      <w:pPr>
        <w:pStyle w:val="Heading2"/>
        <w:spacing w:after="80" w:before="260"/>
      </w:pPr>
      <w:r>
        <w:rPr>
          <w:rFonts w:ascii="Arial" w:cs="Arial" w:eastAsia="Arial" w:hAnsi="Arial"/>
          <w:b/>
          <w:bCs/>
          <w:color w:val="222222"/>
          <w:sz w:val="23"/>
          <w:szCs w:val="23"/>
        </w:rPr>
        <w:t xml:space="preserve">3.4  Pipeline de Traduction Réglementaire Multilingue</w:t>
      </w:r>
    </w:p>
    <w:p>
      <w:pPr>
        <w:spacing w:after="60" w:before="60"/>
      </w:pPr>
      <w:r>
        <w:rPr>
          <w:rFonts w:ascii="Arial" w:cs="Arial" w:eastAsia="Arial" w:hAnsi="Arial"/>
          <w:b/>
          <w:bCs/>
          <w:sz w:val="20"/>
          <w:szCs w:val="20"/>
        </w:rPr>
        <w:t xml:space="preserve">Contexte &amp; Problématique.  </w:t>
      </w:r>
      <w:r>
        <w:rPr>
          <w:rFonts w:ascii="Arial" w:cs="Arial" w:eastAsia="Arial" w:hAnsi="Arial"/>
          <w:sz w:val="20"/>
          <w:szCs w:val="20"/>
        </w:rPr>
        <w:t xml:space="preserve">L’application des saisies et interdictions judiciaires nécessitait une traduction quotidienne de listes de noms en arabe vers le français, suivie d’un rapprochement automatisé avec la base clients — une tâche mobilisant quatre agents à plein temps chaque jour.</w:t>
      </w:r>
    </w:p>
    <w:p>
      <w:pPr>
        <w:spacing w:after="60" w:before="60"/>
      </w:pPr>
      <w:r>
        <w:rPr>
          <w:rFonts w:ascii="Arial" w:cs="Arial" w:eastAsia="Arial" w:hAnsi="Arial"/>
          <w:b/>
          <w:bCs/>
          <w:sz w:val="20"/>
          <w:szCs w:val="20"/>
        </w:rPr>
        <w:t xml:space="preserve">Solution.  </w:t>
      </w:r>
      <w:r>
        <w:rPr>
          <w:rFonts w:ascii="Arial" w:cs="Arial" w:eastAsia="Arial" w:hAnsi="Arial"/>
          <w:sz w:val="20"/>
          <w:szCs w:val="20"/>
        </w:rPr>
        <w:t xml:space="preserve">Développement et déploiement d’un pipeline NLP multilingue en production utilisant GPT-4-Turbo et une API REST Flask pour la traduction automatisée de noms de l’arabe vers le français et la recherche en temps réel dans la base clients dans un workflow de conformité réglementaire.</w:t>
      </w:r>
    </w:p>
    <w:p>
      <w:pPr>
        <w:spacing w:after="60" w:before="60"/>
      </w:pPr>
      <w:r>
        <w:rPr>
          <w:rFonts w:ascii="Arial" w:cs="Arial" w:eastAsia="Arial" w:hAnsi="Arial"/>
          <w:b/>
          <w:bCs/>
          <w:sz w:val="20"/>
          <w:szCs w:val="20"/>
        </w:rPr>
        <w:t xml:space="preserve">Technologies.  </w:t>
      </w:r>
      <w:r>
        <w:rPr>
          <w:rFonts w:ascii="Arial" w:cs="Arial" w:eastAsia="Arial" w:hAnsi="Arial"/>
          <w:sz w:val="20"/>
          <w:szCs w:val="20"/>
        </w:rPr>
        <w:t xml:space="preserve">Python, GPT-4-Turbo, API REST Flask, correspondance floue, résolution d’entités, pipeline de recherche automatisée en base de données.</w:t>
      </w:r>
    </w:p>
    <w:p>
      <w:pPr>
        <w:spacing w:after="0" w:before="120"/>
      </w:pPr>
      <w:r>
        <w:t xml:space="preserve"/>
      </w:r>
    </w:p>
    <w:p>
      <w:pPr>
        <w:pStyle w:val="Heading2"/>
        <w:spacing w:after="80" w:before="260"/>
      </w:pPr>
      <w:r>
        <w:rPr>
          <w:rFonts w:ascii="Arial" w:cs="Arial" w:eastAsia="Arial" w:hAnsi="Arial"/>
          <w:b/>
          <w:bCs/>
          <w:color w:val="222222"/>
          <w:sz w:val="23"/>
          <w:szCs w:val="23"/>
        </w:rPr>
        <w:t xml:space="preserve">3.5  OCR &amp; Extraction de Données Structurées — Modèle Vision-Langage</w:t>
      </w:r>
    </w:p>
    <w:p>
      <w:pPr>
        <w:spacing w:after="60" w:before="60"/>
      </w:pPr>
      <w:r>
        <w:rPr>
          <w:rFonts w:ascii="Arial" w:cs="Arial" w:eastAsia="Arial" w:hAnsi="Arial"/>
          <w:b/>
          <w:bCs/>
          <w:sz w:val="20"/>
          <w:szCs w:val="20"/>
        </w:rPr>
        <w:t xml:space="preserve">Contexte &amp; Problématique.  </w:t>
      </w:r>
      <w:r>
        <w:rPr>
          <w:rFonts w:ascii="Arial" w:cs="Arial" w:eastAsia="Arial" w:hAnsi="Arial"/>
          <w:sz w:val="20"/>
          <w:szCs w:val="20"/>
        </w:rPr>
        <w:t xml:space="preserve">Le traitement manuel de documents juridiques numérisés en arabe et en français — cartes nationales d’identité, ordres de virement bancaire — était chronophage et sujet aux erreurs. Aucun pipeline d’extraction automatisé n’existait au sein de l’entité pour le contenu de documents manuscrits ou imprimés multilingues.</w:t>
      </w:r>
    </w:p>
    <w:p>
      <w:pPr>
        <w:spacing w:after="60" w:before="60"/>
      </w:pPr>
      <w:r>
        <w:rPr>
          <w:rFonts w:ascii="Arial" w:cs="Arial" w:eastAsia="Arial" w:hAnsi="Arial"/>
          <w:b/>
          <w:bCs/>
          <w:sz w:val="20"/>
          <w:szCs w:val="20"/>
        </w:rPr>
        <w:t xml:space="preserve">Solution.  </w:t>
      </w:r>
      <w:r>
        <w:rPr>
          <w:rFonts w:ascii="Arial" w:cs="Arial" w:eastAsia="Arial" w:hAnsi="Arial"/>
          <w:sz w:val="20"/>
          <w:szCs w:val="20"/>
        </w:rPr>
        <w:t xml:space="preserve">Développement d’un système OCR et d’extraction de données structurées de bout en bout utilisant une architecture en deux étapes : Qwen2.5-VL-7B pour l’extraction de texte basée sur la vision à partir d’images de documents, et Qwen2.5-Coder pour la correspondance du contenu extrait vers des champs JSON structurés et validés.</w:t>
      </w:r>
    </w:p>
    <w:p>
      <w:pPr>
        <w:spacing w:after="60" w:before="60"/>
      </w:pPr>
      <w:r>
        <w:rPr>
          <w:rFonts w:ascii="Arial" w:cs="Arial" w:eastAsia="Arial" w:hAnsi="Arial"/>
          <w:b/>
          <w:bCs/>
          <w:sz w:val="20"/>
          <w:szCs w:val="20"/>
        </w:rPr>
        <w:t xml:space="preserve">Technologies.  </w:t>
      </w:r>
      <w:r>
        <w:rPr>
          <w:rFonts w:ascii="Arial" w:cs="Arial" w:eastAsia="Arial" w:hAnsi="Arial"/>
          <w:sz w:val="20"/>
          <w:szCs w:val="20"/>
        </w:rPr>
        <w:t xml:space="preserve">Python, Qwen2.5-VL-7B, Qwen2.5-Coder, quantification float16, optimisation DPI, inférence GPU, ajustement du budget de tokens, ingénierie de prompts multilingue (arabe + français), validation de schéma JSON.</w:t>
      </w:r>
    </w:p>
    <w:p>
      <w:pPr>
        <w:spacing w:after="0" w:before="120"/>
      </w:pPr>
      <w:r>
        <w:t xml:space="preserve"/>
      </w:r>
    </w:p>
    <w:p>
      <w:pPr>
        <w:pStyle w:val="Heading2"/>
        <w:spacing w:after="80" w:before="260"/>
      </w:pPr>
      <w:r>
        <w:rPr>
          <w:rFonts w:ascii="Arial" w:cs="Arial" w:eastAsia="Arial" w:hAnsi="Arial"/>
          <w:b/>
          <w:bCs/>
          <w:color w:val="222222"/>
          <w:sz w:val="23"/>
          <w:szCs w:val="23"/>
        </w:rPr>
        <w:t xml:space="preserve">3.6  SentinelIA — Système de Détection de Fraude par Analyse de Graphes</w:t>
      </w:r>
    </w:p>
    <w:p>
      <w:pPr>
        <w:spacing w:after="60" w:before="60"/>
      </w:pPr>
      <w:r>
        <w:rPr>
          <w:rFonts w:ascii="Arial" w:cs="Arial" w:eastAsia="Arial" w:hAnsi="Arial"/>
          <w:b/>
          <w:bCs/>
          <w:sz w:val="20"/>
          <w:szCs w:val="20"/>
        </w:rPr>
        <w:t xml:space="preserve">Contexte &amp; Problématique.  </w:t>
      </w:r>
      <w:r>
        <w:rPr>
          <w:rFonts w:ascii="Arial" w:cs="Arial" w:eastAsia="Arial" w:hAnsi="Arial"/>
          <w:sz w:val="20"/>
          <w:szCs w:val="20"/>
        </w:rPr>
        <w:t xml:space="preserve">L’équipe de conformité réalisait une analyse manuelle des schémas de transactions pour identifier les mouvements de capitaux illicites — un processus intensif estimé à 460 jours-personnes par an, avec une profondeur analytique et une couverture limitées sur de grands volumes de transactions.</w:t>
      </w:r>
    </w:p>
    <w:p>
      <w:pPr>
        <w:spacing w:after="60" w:before="60"/>
      </w:pPr>
      <w:r>
        <w:rPr>
          <w:rFonts w:ascii="Arial" w:cs="Arial" w:eastAsia="Arial" w:hAnsi="Arial"/>
          <w:b/>
          <w:bCs/>
          <w:sz w:val="20"/>
          <w:szCs w:val="20"/>
        </w:rPr>
        <w:t xml:space="preserve">Solution.  </w:t>
      </w:r>
      <w:r>
        <w:rPr>
          <w:rFonts w:ascii="Arial" w:cs="Arial" w:eastAsia="Arial" w:hAnsi="Arial"/>
          <w:sz w:val="20"/>
          <w:szCs w:val="20"/>
        </w:rPr>
        <w:t xml:space="preserve">Développement d’un système de détection de fraude par analyse de graphes utilisant l’algorithme de détection de communautés Louvain et l’analyse de réseaux pour faire émerger des schémas structurés d’activité suspecte dans les données de transactions clients, avec reporting trimestriel automatisé aux équipes de conformité.</w:t>
      </w:r>
    </w:p>
    <w:p>
      <w:pPr>
        <w:spacing w:after="60" w:before="60"/>
      </w:pPr>
      <w:r>
        <w:rPr>
          <w:rFonts w:ascii="Arial" w:cs="Arial" w:eastAsia="Arial" w:hAnsi="Arial"/>
          <w:b/>
          <w:bCs/>
          <w:sz w:val="20"/>
          <w:szCs w:val="20"/>
        </w:rPr>
        <w:t xml:space="preserve">Technologies.  </w:t>
      </w:r>
      <w:r>
        <w:rPr>
          <w:rFonts w:ascii="Arial" w:cs="Arial" w:eastAsia="Arial" w:hAnsi="Arial"/>
          <w:sz w:val="20"/>
          <w:szCs w:val="20"/>
        </w:rPr>
        <w:t xml:space="preserve">Python, NetworkX, algorithme Louvain, analytique de graphes, analyse de réseaux, SQL, génération automatisée de rapports trimestriels.</w:t>
      </w:r>
    </w:p>
    <w:p>
      <w:r>
        <w:br w:type="page"/>
      </w:r>
    </w:p>
    <w:p>
      <w:pPr>
        <w:pStyle w:val="Heading1"/>
        <w:pBdr>
          <w:bottom w:val="single" w:color="111111" w:sz="5" w:space="4"/>
        </w:pBdr>
        <w:spacing w:after="100" w:before="400"/>
      </w:pPr>
      <w:r>
        <w:rPr>
          <w:rFonts w:ascii="Arial" w:cs="Arial" w:eastAsia="Arial" w:hAnsi="Arial"/>
          <w:b/>
          <w:bCs/>
          <w:color w:val="111111"/>
          <w:sz w:val="27"/>
          <w:szCs w:val="27"/>
        </w:rPr>
        <w:t xml:space="preserve">4. Leadership &amp; Initiative</w:t>
      </w:r>
    </w:p>
    <w:p>
      <w:pPr>
        <w:pStyle w:val="Heading2"/>
        <w:spacing w:after="80" w:before="260"/>
      </w:pPr>
      <w:r>
        <w:rPr>
          <w:rFonts w:ascii="Arial" w:cs="Arial" w:eastAsia="Arial" w:hAnsi="Arial"/>
          <w:b/>
          <w:bCs/>
          <w:color w:val="222222"/>
          <w:sz w:val="23"/>
          <w:szCs w:val="23"/>
        </w:rPr>
        <w:t xml:space="preserve">4.1  Représentation Internationale</w:t>
      </w:r>
    </w:p>
    <w:p>
      <w:pPr>
        <w:pStyle w:val="ListParagraph"/>
        <w:numPr>
          <w:ilvl w:val="0"/>
          <w:numId w:val="2"/>
        </w:numPr>
        <w:spacing w:after="50" w:before="50"/>
      </w:pPr>
      <w:r>
        <w:rPr>
          <w:rFonts w:ascii="Arial" w:cs="Arial" w:eastAsia="Arial" w:hAnsi="Arial"/>
          <w:sz w:val="20"/>
          <w:szCs w:val="20"/>
        </w:rPr>
        <w:t xml:space="preserve">Sélectionné pour le Workshop IA de BNP Paribas à Paris (juillet 2025), parmi les rares professionnels choisis à l’échelle mondiale pour participer à la stratégie des Agents IA du Groupe, contribuant à la planification du déploiement des LLM d’entreprise au sein du réseau BNP Paribas.</w:t>
      </w:r>
    </w:p>
    <w:p>
      <w:pPr>
        <w:pStyle w:val="ListParagraph"/>
        <w:numPr>
          <w:ilvl w:val="0"/>
          <w:numId w:val="2"/>
        </w:numPr>
        <w:spacing w:after="50" w:before="50"/>
      </w:pPr>
      <w:r>
        <w:rPr>
          <w:rFonts w:ascii="Arial" w:cs="Arial" w:eastAsia="Arial" w:hAnsi="Arial"/>
          <w:sz w:val="20"/>
          <w:szCs w:val="20"/>
        </w:rPr>
        <w:t xml:space="preserve">A exercé en tant que seul représentant de BNP Paribas El Djazaïr lors des ateliers hebdomadaires d’innovation IA co-organisés avec Microsoft, OpenAI et Azure AI, axés sur l’adoption de l’IA en entreprise, l’intégration du service Azure OpenAI et les pratiques de déploiement responsable.</w:t>
      </w:r>
    </w:p>
    <w:p>
      <w:pPr>
        <w:spacing w:after="0" w:before="100"/>
      </w:pPr>
      <w:r>
        <w:t xml:space="preserve"/>
      </w:r>
    </w:p>
    <w:p>
      <w:pPr>
        <w:pStyle w:val="Heading2"/>
        <w:spacing w:after="80" w:before="260"/>
      </w:pPr>
      <w:r>
        <w:rPr>
          <w:rFonts w:ascii="Arial" w:cs="Arial" w:eastAsia="Arial" w:hAnsi="Arial"/>
          <w:b/>
          <w:bCs/>
          <w:color w:val="222222"/>
          <w:sz w:val="23"/>
          <w:szCs w:val="23"/>
        </w:rPr>
        <w:t xml:space="preserve">4.2  Encadrement Académique &amp; Mentorat</w:t>
      </w:r>
    </w:p>
    <w:p>
      <w:pPr>
        <w:pStyle w:val="ListParagraph"/>
        <w:numPr>
          <w:ilvl w:val="0"/>
          <w:numId w:val="2"/>
        </w:numPr>
        <w:spacing w:after="50" w:before="50"/>
      </w:pPr>
      <w:r>
        <w:rPr>
          <w:rFonts w:ascii="Arial" w:cs="Arial" w:eastAsia="Arial" w:hAnsi="Arial"/>
          <w:sz w:val="20"/>
          <w:szCs w:val="20"/>
        </w:rPr>
        <w:t xml:space="preserve">Encadrement d’un mémoire de master co-rédigé par deux étudiants sur le développement d’un Agent IA propulsé par la Génération Augmentée par Récupération pour BNP Paribas El Djazaïr — livraison d’un chatbot pleinement fonctionnel capable de récupérer et de synthétiser des réponses en temps réel à partir de la documentation réglementaire interne.</w:t>
      </w:r>
    </w:p>
    <w:p>
      <w:pPr>
        <w:pStyle w:val="ListParagraph"/>
        <w:numPr>
          <w:ilvl w:val="0"/>
          <w:numId w:val="2"/>
        </w:numPr>
        <w:spacing w:after="50" w:before="50"/>
      </w:pPr>
      <w:r>
        <w:rPr>
          <w:rFonts w:ascii="Arial" w:cs="Arial" w:eastAsia="Arial" w:hAnsi="Arial"/>
          <w:sz w:val="20"/>
          <w:szCs w:val="20"/>
        </w:rPr>
        <w:t xml:space="preserve">Accompagnement des équipes de la compétition Data Cup sponsorisée par BNP Paribas, en encadrant les participants dans la formulation du problème, la sélection des modèles et la communication des insights IA à un public métier.</w:t>
      </w:r>
    </w:p>
    <w:p>
      <w:pPr>
        <w:spacing w:after="0" w:before="100"/>
      </w:pPr>
      <w:r>
        <w:t xml:space="preserve"/>
      </w:r>
    </w:p>
    <w:p>
      <w:pPr>
        <w:pStyle w:val="Heading2"/>
        <w:spacing w:after="80" w:before="260"/>
      </w:pPr>
      <w:r>
        <w:rPr>
          <w:rFonts w:ascii="Arial" w:cs="Arial" w:eastAsia="Arial" w:hAnsi="Arial"/>
          <w:b/>
          <w:bCs/>
          <w:color w:val="222222"/>
          <w:sz w:val="23"/>
          <w:szCs w:val="23"/>
        </w:rPr>
        <w:t xml:space="preserve">4.3  Ownership Indépendant de Bout en Bout</w:t>
      </w:r>
    </w:p>
    <w:p>
      <w:pPr>
        <w:pStyle w:val="ListParagraph"/>
        <w:numPr>
          <w:ilvl w:val="0"/>
          <w:numId w:val="2"/>
        </w:numPr>
        <w:spacing w:after="50" w:before="50"/>
      </w:pPr>
      <w:r>
        <w:rPr>
          <w:rFonts w:ascii="Arial" w:cs="Arial" w:eastAsia="Arial" w:hAnsi="Arial"/>
          <w:sz w:val="20"/>
          <w:szCs w:val="20"/>
        </w:rPr>
        <w:t xml:space="preserve">Chaque système IA de ce rapport a été conçu, architecturé, développé, testé et déployé de manière autonome — sans équipe d’ingénierie dédiée — couvrant la collecte des besoins, la conception de la solution, la configuration de l’infrastructure, la sélection des modèles, le développement d’API et le déploiement en production.</w:t>
      </w:r>
    </w:p>
    <w:p>
      <w:pPr>
        <w:pStyle w:val="ListParagraph"/>
        <w:numPr>
          <w:ilvl w:val="0"/>
          <w:numId w:val="2"/>
        </w:numPr>
        <w:spacing w:after="50" w:before="50"/>
      </w:pPr>
      <w:r>
        <w:rPr>
          <w:rFonts w:ascii="Arial" w:cs="Arial" w:eastAsia="Arial" w:hAnsi="Arial"/>
          <w:sz w:val="20"/>
          <w:szCs w:val="20"/>
        </w:rPr>
        <w:t xml:space="preserve">Livraison de plus de 30 Automatisations de Processus Analytiques via Alteryx et des pipelines SQL complexes, remplaçant des reportings manuels ad hoc par des workflows automatisés validés et adaptés aux besoins exacts de chaque département.</w:t>
      </w:r>
    </w:p>
    <w:p>
      <w:pPr>
        <w:pStyle w:val="ListParagraph"/>
        <w:numPr>
          <w:ilvl w:val="0"/>
          <w:numId w:val="2"/>
        </w:numPr>
        <w:spacing w:after="50" w:before="50"/>
      </w:pPr>
      <w:r>
        <w:rPr>
          <w:rFonts w:ascii="Arial" w:cs="Arial" w:eastAsia="Arial" w:hAnsi="Arial"/>
          <w:sz w:val="20"/>
          <w:szCs w:val="20"/>
        </w:rPr>
        <w:t xml:space="preserve">Pilotage des évaluations de qualité des données par l’exécution de workflows d’extraction, de nettoyage et de contrôle ; mise en œuvre des KPI et livraison mensuelle de fichiers d’anomalies à tous les départements pour soutenir les programmes de remédiation des données.</w:t>
      </w:r>
    </w:p>
    <w:p>
      <w:pPr>
        <w:spacing w:after="0" w:before="120"/>
      </w:pPr>
      <w:r>
        <w:t xml:space="preserve"/>
      </w:r>
    </w:p>
    <w:p>
      <w:pPr>
        <w:pStyle w:val="Heading1"/>
        <w:pBdr>
          <w:bottom w:val="single" w:color="111111" w:sz="5" w:space="4"/>
        </w:pBdr>
        <w:spacing w:after="100" w:before="400"/>
      </w:pPr>
      <w:r>
        <w:rPr>
          <w:rFonts w:ascii="Arial" w:cs="Arial" w:eastAsia="Arial" w:hAnsi="Arial"/>
          <w:b/>
          <w:bCs/>
          <w:color w:val="111111"/>
          <w:sz w:val="27"/>
          <w:szCs w:val="27"/>
        </w:rPr>
        <w:t xml:space="preserve">8. Conclusion</w:t>
      </w:r>
    </w:p>
    <w:p>
      <w:pPr>
        <w:spacing w:after="60" w:before="60"/>
      </w:pPr>
      <w:r>
        <w:rPr>
          <w:rFonts w:ascii="Arial" w:cs="Arial" w:eastAsia="Arial" w:hAnsi="Arial"/>
          <w:sz w:val="20"/>
          <w:szCs w:val="20"/>
        </w:rPr>
        <w:t xml:space="preserve">The trois années et demie au sein de BNP Paribas El Djazaïr ont été marquées par un engagement constant à construire des systèmes d’intelligence artificielle délivrant une valeur réelle et mesurable en production — non pas comme des prototypes ou des expérimentations, mais comme des outils opérationnels intégrés aux workflows quotidiens de la banque. Chaque système documenté dans ce rapport est en production. Chaque métrique citée est réelle. Chacun a été construit de bout en bout, de manière autonome, dans le respect des normes et contraintes d’un environnement bancaire international réglementé.</w:t>
      </w:r>
    </w:p>
    <w:p>
      <w:pPr>
        <w:spacing w:after="0" w:before="80"/>
      </w:pPr>
      <w:r>
        <w:t xml:space="preserve"/>
      </w:r>
    </w:p>
    <w:p>
      <w:pPr>
        <w:spacing w:after="60" w:before="60"/>
      </w:pPr>
      <w:r>
        <w:rPr>
          <w:rFonts w:ascii="Arial" w:cs="Arial" w:eastAsia="Arial" w:hAnsi="Arial"/>
          <w:sz w:val="20"/>
          <w:szCs w:val="20"/>
        </w:rPr>
        <w:t xml:space="preserve">Cet ensemble de travaux a établi une base pour l’adoption de l’IA au sein de BNP Paribas El Djazaïr qui dépasse largement les projets individuels : un précédent pour le déploiement des LLM, un cadre pour la récupération de connaissances basée sur le RAG, une méthodologie d’automatisation de la conformité par le NLP, et un portefeuille en production qui continuera à délivrer de la valeur bien après la fin de ce mandat.</w:t>
      </w:r>
    </w:p>
    <w:p>
      <w:pPr>
        <w:spacing w:after="0" w:before="80"/>
      </w:pPr>
      <w:r>
        <w:t xml:space="preserve"/>
      </w:r>
    </w:p>
    <w:p>
      <w:pPr>
        <w:spacing w:after="60" w:before="60"/>
      </w:pPr>
      <w:r>
        <w:rPr>
          <w:rFonts w:ascii="Arial" w:cs="Arial" w:eastAsia="Arial" w:hAnsi="Arial"/>
          <w:sz w:val="20"/>
          <w:szCs w:val="20"/>
        </w:rPr>
        <w:t xml:space="preserve">Pour la suite, l’ambition est d’approfondir cette expertise à travers une recherche de niveau doctoral en traitement automatique du langage naturel multilingue, en génération augmentée par récupération et en systèmes d’IA agentiques — en s’appuyant sur une base ancrée dans le déploiement en entreprise réel, les applications financières et la pratique technique interculturelle.</w:t>
      </w:r>
    </w:p>
    <w:p>
      <w:pPr>
        <w:spacing w:after="0" w:before="80"/>
      </w:pPr>
      <w:r>
        <w:t xml:space="preserve"/>
      </w:r>
    </w:p>
    <w:p>
      <w:pPr>
        <w:spacing w:after="60" w:before="60"/>
      </w:pPr>
      <w:r>
        <w:rPr>
          <w:rFonts w:ascii="Arial" w:cs="Arial" w:eastAsia="Arial" w:hAnsi="Arial"/>
          <w:sz w:val="20"/>
          <w:szCs w:val="20"/>
        </w:rPr>
        <w:t xml:space="preserve">Ce fut un honneur de contribuer à la mission du Data Office et de représenter BNP Paribas El Djazaïr dans les discussions stratégiques IA au niveau du Groupe. La confiance accordée, les collègues et l’opportunité de réaliser un travail significatif à l’intersection de l’IA avancée et de l’impact métier réel ont été profondément appréciés.</w:t>
      </w:r>
    </w:p>
    <w:p>
      <w:pPr>
        <w:spacing w:after="0" w:before="180"/>
      </w:pPr>
      <w:r>
        <w:t xml:space="preserve"/>
      </w:r>
    </w:p>
    <w:p>
      <w:pPr>
        <w:pBdr>
          <w:bottom w:val="single" w:color="CCCCCC" w:sz="2" w:space="1"/>
        </w:pBdr>
        <w:spacing w:after="160" w:before="160"/>
      </w:pPr>
      <w:r>
        <w:t xml:space="preserve"/>
      </w:r>
    </w:p>
    <w:p>
      <w:pPr>
        <w:spacing w:after="0" w:before="80"/>
      </w:pPr>
      <w:r>
        <w:t xml:space="preserve"/>
      </w:r>
    </w:p>
    <w:p>
      <w:pPr>
        <w:jc w:val="right"/>
      </w:pPr>
      <w:r>
        <w:rPr>
          <w:rFonts w:ascii="Arial" w:cs="Arial" w:eastAsia="Arial" w:hAnsi="Arial"/>
          <w:b/>
          <w:bCs/>
          <w:sz w:val="22"/>
          <w:szCs w:val="22"/>
        </w:rPr>
        <w:t xml:space="preserve">Nihad Senhadji</w:t>
      </w:r>
    </w:p>
    <w:p>
      <w:pPr>
        <w:jc w:val="right"/>
      </w:pPr>
      <w:r>
        <w:rPr>
          <w:rFonts w:ascii="Arial" w:cs="Arial" w:eastAsia="Arial" w:hAnsi="Arial"/>
          <w:i/>
          <w:iCs/>
          <w:color w:val="555555"/>
          <w:sz w:val="19"/>
          <w:szCs w:val="19"/>
        </w:rPr>
        <w:t xml:space="preserve">Data Scientist &amp; Ingénieur IA  —  BNP Paribas El Djazaïr</w:t>
      </w:r>
    </w:p>
    <w:p>
      <w:pPr>
        <w:jc w:val="right"/>
      </w:pPr>
      <w:r>
        <w:rPr>
          <w:rFonts w:ascii="Arial" w:cs="Arial" w:eastAsia="Arial" w:hAnsi="Arial"/>
          <w:color w:val="888888"/>
          <w:sz w:val="19"/>
          <w:szCs w:val="19"/>
        </w:rPr>
        <w:t xml:space="preserve">Avril 2026</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after="0" w:before="60"/>
    </w:pPr>
    <w:r>
      <w:rPr>
        <w:rFonts w:ascii="Arial" w:cs="Arial" w:eastAsia="Arial" w:hAnsi="Arial"/>
        <w:color w:val="888888"/>
        <w:sz w:val="16"/>
        <w:szCs w:val="16"/>
      </w:rPr>
      <w:t xml:space="preserve">Nihad Senhadji  |  Data Scientist &amp; AI Engineer</w:t>
    </w:r>
    <w:r>
      <w:rPr>
        <w:rFonts w:ascii="Arial" w:cs="Arial" w:eastAsia="Arial" w:hAnsi="Arial"/>
        <w:sz w:val="16"/>
        <w:szCs w:val="16"/>
      </w:rPr>
      <w:t xml:space="preserv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33333" w:sz="3" w:space="4"/>
      </w:pBdr>
      <w:spacing w:after="80" w:before="0"/>
    </w:pPr>
    <w:r>
      <w:rPr>
        <w:rFonts w:ascii="Arial" w:cs="Arial" w:eastAsia="Arial" w:hAnsi="Arial"/>
        <w:color w:val="666666"/>
        <w:sz w:val="16"/>
        <w:szCs w:val="16"/>
      </w:rPr>
      <w:t xml:space="preserve">BNP Paribas El Djazair  —  Professional Impact &amp; Contribution Report  |  Nihad Senhadji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111111"/>
      <w:sz w:val="27"/>
      <w:szCs w:val="27"/>
    </w:rPr>
  </w:style>
  <w:style w:type="paragraph" w:styleId="Heading2">
    <w:name w:val="Heading 2"/>
    <w:basedOn w:val="Normal"/>
    <w:next w:val="Normal"/>
    <w:qFormat/>
    <w:pPr>
      <w:spacing w:after="80" w:before="260"/>
      <w:outlineLvl w:val="1"/>
    </w:pPr>
    <w:rPr>
      <w:rFonts w:ascii="Arial" w:cs="Arial" w:eastAsia="Arial" w:hAnsi="Arial"/>
      <w:b/>
      <w:bCs/>
      <w:color w:val="2222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2026-04-04T21:57:08.338Z</dcterms:created>
  <dcterms:modified xsi:type="dcterms:W3CDTF">2026-04-04T21:57:08.339Z</dcterms:modified>
</cp:coreProperties>
</file>

<file path=docProps/custom.xml><?xml version="1.0" encoding="utf-8"?>
<Properties xmlns="http://schemas.openxmlformats.org/officeDocument/2006/custom-properties" xmlns:vt="http://schemas.openxmlformats.org/officeDocument/2006/docPropsVTypes"/>
</file>