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18064" w14:textId="3964B739" w:rsidR="00545BEF" w:rsidRDefault="00545BEF" w:rsidP="00545BEF">
      <w:pPr>
        <w:spacing w:after="0"/>
        <w:ind w:left="3544" w:hanging="3544"/>
        <w:jc w:val="both"/>
        <w:rPr>
          <w:rFonts w:ascii="Arial" w:hAnsi="Arial" w:cs="Arial"/>
          <w:sz w:val="24"/>
          <w:szCs w:val="24"/>
        </w:rPr>
      </w:pPr>
      <w:r w:rsidRPr="00766393">
        <w:rPr>
          <w:rFonts w:ascii="Arial" w:hAnsi="Arial" w:cs="Arial"/>
          <w:b/>
          <w:bCs/>
          <w:sz w:val="24"/>
          <w:szCs w:val="24"/>
          <w:u w:val="single"/>
        </w:rPr>
        <w:t xml:space="preserve">Name of </w:t>
      </w:r>
      <w:r>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Pr="007449A8">
        <w:rPr>
          <w:rFonts w:ascii="Arial" w:hAnsi="Arial" w:cs="Arial"/>
          <w:sz w:val="24"/>
          <w:szCs w:val="24"/>
        </w:rPr>
        <w:t xml:space="preserve"> </w:t>
      </w:r>
      <w:r>
        <w:rPr>
          <w:rFonts w:ascii="Arial" w:hAnsi="Arial" w:cs="Arial"/>
          <w:sz w:val="24"/>
          <w:szCs w:val="24"/>
        </w:rPr>
        <w:tab/>
      </w:r>
      <w:r>
        <w:rPr>
          <w:rFonts w:ascii="Arial" w:hAnsi="Arial" w:cs="Arial"/>
          <w:sz w:val="24"/>
          <w:szCs w:val="24"/>
        </w:rPr>
        <w:t>Turnkey contract for Tender No 49 – Infrastructure Plan Phase-I in Wardha, Arvi and Hinganghat Division under Nagpur Zone</w:t>
      </w:r>
      <w:r>
        <w:rPr>
          <w:rFonts w:ascii="Arial" w:hAnsi="Arial" w:cs="Arial"/>
          <w:sz w:val="24"/>
          <w:szCs w:val="24"/>
        </w:rPr>
        <w:t xml:space="preserve"> </w:t>
      </w:r>
    </w:p>
    <w:p w14:paraId="42577ABB" w14:textId="77777777" w:rsidR="00545BEF" w:rsidRDefault="00545BEF" w:rsidP="00545BEF">
      <w:pPr>
        <w:spacing w:after="0"/>
        <w:ind w:left="3544" w:hanging="3544"/>
        <w:jc w:val="both"/>
        <w:rPr>
          <w:rFonts w:ascii="Arial" w:hAnsi="Arial" w:cs="Arial"/>
          <w:sz w:val="24"/>
          <w:szCs w:val="24"/>
        </w:rPr>
      </w:pPr>
    </w:p>
    <w:p w14:paraId="310C422F" w14:textId="77777777" w:rsidR="00545BEF" w:rsidRDefault="00545BEF" w:rsidP="00545BEF">
      <w:pPr>
        <w:spacing w:after="0"/>
        <w:ind w:left="3544" w:hanging="3544"/>
        <w:jc w:val="both"/>
        <w:rPr>
          <w:rFonts w:ascii="Arial" w:hAnsi="Arial" w:cs="Arial"/>
          <w:sz w:val="24"/>
          <w:szCs w:val="24"/>
        </w:rPr>
      </w:pPr>
    </w:p>
    <w:p w14:paraId="3E53CE48" w14:textId="77777777" w:rsidR="00545BEF" w:rsidRPr="007F191A" w:rsidRDefault="00545BEF" w:rsidP="00545BEF">
      <w:pPr>
        <w:ind w:left="2694" w:hanging="2694"/>
        <w:jc w:val="both"/>
        <w:rPr>
          <w:rFonts w:ascii="Arial" w:hAnsi="Arial" w:cs="Arial"/>
          <w:sz w:val="4"/>
          <w:szCs w:val="4"/>
        </w:rPr>
      </w:pPr>
    </w:p>
    <w:p w14:paraId="301D6564" w14:textId="18567253" w:rsidR="00545BEF" w:rsidRDefault="00545BEF" w:rsidP="00545BEF">
      <w:pPr>
        <w:ind w:left="2694" w:hanging="2694"/>
        <w:jc w:val="both"/>
        <w:rPr>
          <w:rFonts w:ascii="Arial" w:hAnsi="Arial" w:cs="Arial"/>
          <w:sz w:val="24"/>
          <w:szCs w:val="24"/>
        </w:rPr>
      </w:pPr>
      <w:r>
        <w:rPr>
          <w:rFonts w:ascii="Arial" w:hAnsi="Arial" w:cs="Arial"/>
          <w:b/>
          <w:bCs/>
          <w:sz w:val="24"/>
          <w:szCs w:val="24"/>
          <w:u w:val="single"/>
        </w:rPr>
        <w:t xml:space="preserve">Name of </w:t>
      </w:r>
      <w:r w:rsidRPr="00766393">
        <w:rPr>
          <w:rFonts w:ascii="Arial" w:hAnsi="Arial" w:cs="Arial"/>
          <w:b/>
          <w:bCs/>
          <w:sz w:val="24"/>
          <w:szCs w:val="24"/>
          <w:u w:val="single"/>
        </w:rPr>
        <w:t>Client</w:t>
      </w:r>
      <w:r>
        <w:rPr>
          <w:rFonts w:ascii="Arial" w:hAnsi="Arial" w:cs="Arial"/>
          <w:b/>
          <w:bCs/>
          <w:sz w:val="24"/>
          <w:szCs w:val="24"/>
        </w:rPr>
        <w:t>:</w:t>
      </w:r>
      <w:r>
        <w:rPr>
          <w:rFonts w:ascii="Arial" w:hAnsi="Arial" w:cs="Arial"/>
          <w:sz w:val="24"/>
          <w:szCs w:val="24"/>
        </w:rPr>
        <w:t xml:space="preserve"> -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Maharashtra State Electricity </w:t>
      </w:r>
      <w:r>
        <w:rPr>
          <w:rFonts w:ascii="Arial" w:hAnsi="Arial" w:cs="Arial"/>
          <w:sz w:val="24"/>
          <w:szCs w:val="24"/>
        </w:rPr>
        <w:t>Distribution</w:t>
      </w:r>
      <w:r>
        <w:rPr>
          <w:rFonts w:ascii="Arial" w:hAnsi="Arial" w:cs="Arial"/>
          <w:sz w:val="24"/>
          <w:szCs w:val="24"/>
        </w:rPr>
        <w:t xml:space="preserve"> Co. Ltd </w:t>
      </w:r>
    </w:p>
    <w:p w14:paraId="72C780DF" w14:textId="77777777" w:rsidR="00545BEF" w:rsidRPr="008161F4" w:rsidRDefault="00545BEF" w:rsidP="00545BEF">
      <w:pPr>
        <w:ind w:left="2694" w:hanging="2694"/>
        <w:jc w:val="both"/>
        <w:rPr>
          <w:rFonts w:ascii="Arial" w:hAnsi="Arial" w:cs="Arial"/>
          <w:szCs w:val="22"/>
        </w:rPr>
      </w:pPr>
    </w:p>
    <w:p w14:paraId="6AA7D927" w14:textId="77777777" w:rsidR="00545BEF" w:rsidRPr="007F191A" w:rsidRDefault="00545BEF" w:rsidP="00545BEF">
      <w:pPr>
        <w:ind w:left="2694" w:hanging="2694"/>
        <w:jc w:val="both"/>
        <w:rPr>
          <w:rFonts w:ascii="Arial" w:hAnsi="Arial" w:cs="Arial"/>
          <w:sz w:val="4"/>
          <w:szCs w:val="4"/>
        </w:rPr>
      </w:pPr>
    </w:p>
    <w:p w14:paraId="4442ADF8" w14:textId="26756087" w:rsidR="00545BEF" w:rsidRDefault="00545BEF" w:rsidP="00545BEF">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 xml:space="preserve">Wardha, Arvi, Hinganghat </w:t>
      </w:r>
    </w:p>
    <w:p w14:paraId="4D18E626" w14:textId="77777777" w:rsidR="00545BEF" w:rsidRDefault="00545BEF" w:rsidP="00545BEF">
      <w:pPr>
        <w:ind w:left="2694" w:hanging="2694"/>
        <w:jc w:val="both"/>
        <w:rPr>
          <w:rFonts w:ascii="Arial" w:hAnsi="Arial" w:cs="Arial"/>
          <w:sz w:val="24"/>
          <w:szCs w:val="24"/>
        </w:rPr>
      </w:pPr>
    </w:p>
    <w:p w14:paraId="4F421E97" w14:textId="77777777" w:rsidR="00545BEF" w:rsidRPr="007F191A" w:rsidRDefault="00545BEF" w:rsidP="00545BEF">
      <w:pPr>
        <w:ind w:left="2694" w:hanging="2694"/>
        <w:jc w:val="both"/>
        <w:rPr>
          <w:rFonts w:ascii="Arial" w:hAnsi="Arial" w:cs="Arial"/>
          <w:sz w:val="2"/>
          <w:szCs w:val="2"/>
        </w:rPr>
      </w:pPr>
    </w:p>
    <w:p w14:paraId="369C5814" w14:textId="77DD34B3" w:rsidR="00545BEF" w:rsidRDefault="00545BEF" w:rsidP="00545BEF">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 xml:space="preserve">Wardha – Maharashtra </w:t>
      </w:r>
      <w:r>
        <w:rPr>
          <w:rFonts w:ascii="Arial" w:hAnsi="Arial" w:cs="Arial"/>
          <w:sz w:val="24"/>
          <w:szCs w:val="24"/>
        </w:rPr>
        <w:t xml:space="preserve"> </w:t>
      </w:r>
    </w:p>
    <w:p w14:paraId="26EBCD36" w14:textId="77777777" w:rsidR="00545BEF" w:rsidRDefault="00545BEF" w:rsidP="00545BEF">
      <w:pPr>
        <w:ind w:left="2552" w:hanging="2552"/>
        <w:jc w:val="both"/>
        <w:rPr>
          <w:rFonts w:ascii="Arial" w:hAnsi="Arial" w:cs="Arial"/>
          <w:sz w:val="24"/>
          <w:szCs w:val="24"/>
        </w:rPr>
      </w:pPr>
    </w:p>
    <w:p w14:paraId="3F2C5135" w14:textId="77777777" w:rsidR="00545BEF" w:rsidRPr="007F191A" w:rsidRDefault="00545BEF" w:rsidP="00545BEF">
      <w:pPr>
        <w:jc w:val="both"/>
        <w:rPr>
          <w:rFonts w:ascii="Arial" w:hAnsi="Arial" w:cs="Arial"/>
          <w:sz w:val="4"/>
          <w:szCs w:val="4"/>
        </w:rPr>
      </w:pPr>
    </w:p>
    <w:p w14:paraId="223427C3" w14:textId="377E53B9" w:rsidR="00545BEF" w:rsidRDefault="00545BEF" w:rsidP="00545BEF">
      <w:pPr>
        <w:spacing w:after="0" w:line="360" w:lineRule="auto"/>
        <w:ind w:left="3600" w:hanging="3600"/>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xml:space="preserve">: - </w:t>
      </w:r>
      <w:r>
        <w:rPr>
          <w:rFonts w:ascii="Arial" w:hAnsi="Arial" w:cs="Arial"/>
          <w:b/>
          <w:bCs/>
          <w:sz w:val="24"/>
          <w:szCs w:val="24"/>
        </w:rPr>
        <w:tab/>
      </w:r>
      <w:r>
        <w:rPr>
          <w:rFonts w:ascii="Arial" w:hAnsi="Arial" w:cs="Arial"/>
          <w:sz w:val="24"/>
          <w:szCs w:val="24"/>
        </w:rPr>
        <w:t xml:space="preserve">1. </w:t>
      </w:r>
      <w:r>
        <w:rPr>
          <w:rFonts w:ascii="Arial" w:hAnsi="Arial" w:cs="Arial"/>
          <w:sz w:val="24"/>
          <w:szCs w:val="24"/>
        </w:rPr>
        <w:t>Electrification works (Distribution)</w:t>
      </w:r>
    </w:p>
    <w:p w14:paraId="45E61E95" w14:textId="77777777" w:rsidR="00545BEF" w:rsidRDefault="00545BEF" w:rsidP="00545BEF">
      <w:pPr>
        <w:spacing w:after="0" w:line="360" w:lineRule="auto"/>
        <w:ind w:left="3600" w:hanging="3600"/>
        <w:jc w:val="both"/>
        <w:rPr>
          <w:rFonts w:ascii="Arial" w:hAnsi="Arial" w:cs="Arial"/>
          <w:sz w:val="24"/>
          <w:szCs w:val="24"/>
        </w:rPr>
      </w:pPr>
    </w:p>
    <w:p w14:paraId="2830238E" w14:textId="77777777" w:rsidR="00545BEF" w:rsidRPr="007F191A" w:rsidRDefault="00545BEF" w:rsidP="00545BEF">
      <w:pPr>
        <w:spacing w:after="0" w:line="360" w:lineRule="auto"/>
        <w:ind w:left="2693" w:hanging="2693"/>
        <w:jc w:val="both"/>
        <w:rPr>
          <w:rFonts w:ascii="Arial" w:hAnsi="Arial" w:cs="Arial"/>
          <w:b/>
          <w:bCs/>
          <w:sz w:val="20"/>
          <w:u w:val="single"/>
        </w:rPr>
      </w:pPr>
    </w:p>
    <w:p w14:paraId="59D0C7DD" w14:textId="478B03D1" w:rsidR="00545BEF" w:rsidRDefault="00545BEF" w:rsidP="00545BEF">
      <w:pPr>
        <w:spacing w:after="0" w:line="360" w:lineRule="auto"/>
        <w:ind w:left="2693" w:hanging="2693"/>
        <w:jc w:val="both"/>
        <w:rPr>
          <w:rFonts w:ascii="Arial" w:hAnsi="Arial" w:cs="Arial"/>
          <w:b/>
          <w:bCs/>
          <w:sz w:val="24"/>
          <w:szCs w:val="24"/>
        </w:rPr>
      </w:pPr>
      <w:r>
        <w:rPr>
          <w:rFonts w:ascii="Arial" w:hAnsi="Arial" w:cs="Arial"/>
          <w:b/>
          <w:bCs/>
          <w:sz w:val="24"/>
          <w:szCs w:val="24"/>
          <w:u w:val="single"/>
        </w:rPr>
        <w:t>Duration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59</w:t>
      </w:r>
      <w:r>
        <w:rPr>
          <w:rFonts w:ascii="Arial" w:hAnsi="Arial" w:cs="Arial"/>
          <w:sz w:val="24"/>
          <w:szCs w:val="24"/>
        </w:rPr>
        <w:t xml:space="preserve"> Months </w:t>
      </w:r>
      <w:r>
        <w:rPr>
          <w:rFonts w:ascii="Arial" w:hAnsi="Arial" w:cs="Arial"/>
          <w:b/>
          <w:bCs/>
          <w:sz w:val="24"/>
          <w:szCs w:val="24"/>
        </w:rPr>
        <w:t xml:space="preserve"> </w:t>
      </w:r>
    </w:p>
    <w:p w14:paraId="39905BDA" w14:textId="77777777" w:rsidR="00545BEF" w:rsidRDefault="00545BEF" w:rsidP="00545BEF">
      <w:pPr>
        <w:spacing w:after="0" w:line="360" w:lineRule="auto"/>
        <w:ind w:left="2693" w:hanging="2693"/>
        <w:jc w:val="both"/>
        <w:rPr>
          <w:rFonts w:ascii="Arial" w:hAnsi="Arial" w:cs="Arial"/>
          <w:sz w:val="24"/>
          <w:szCs w:val="24"/>
        </w:rPr>
      </w:pPr>
    </w:p>
    <w:p w14:paraId="7220899E" w14:textId="77777777" w:rsidR="00545BEF" w:rsidRDefault="00545BEF" w:rsidP="00545BEF">
      <w:pPr>
        <w:spacing w:after="0" w:line="360" w:lineRule="auto"/>
        <w:ind w:left="2693" w:hanging="2693"/>
        <w:jc w:val="both"/>
        <w:rPr>
          <w:rFonts w:ascii="Arial" w:hAnsi="Arial" w:cs="Arial"/>
          <w:sz w:val="24"/>
          <w:szCs w:val="24"/>
        </w:rPr>
      </w:pPr>
    </w:p>
    <w:p w14:paraId="654C60EA" w14:textId="77777777" w:rsidR="00545BEF" w:rsidRPr="00B03E0A" w:rsidRDefault="00545BEF" w:rsidP="00545BEF">
      <w:pPr>
        <w:spacing w:after="0" w:line="360" w:lineRule="auto"/>
        <w:ind w:left="2693" w:hanging="2693"/>
        <w:jc w:val="both"/>
        <w:rPr>
          <w:rFonts w:ascii="Arial" w:hAnsi="Arial" w:cs="Arial"/>
          <w:sz w:val="18"/>
          <w:szCs w:val="18"/>
        </w:rPr>
      </w:pPr>
    </w:p>
    <w:p w14:paraId="3E2EEE37" w14:textId="77777777" w:rsidR="00545BEF" w:rsidRDefault="00545BEF" w:rsidP="00545BEF">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Pr>
          <w:rFonts w:ascii="Arial" w:hAnsi="Arial" w:cs="Arial"/>
          <w:b/>
          <w:bCs/>
          <w:sz w:val="24"/>
          <w:szCs w:val="24"/>
        </w:rPr>
        <w:t xml:space="preserve"> </w:t>
      </w:r>
    </w:p>
    <w:p w14:paraId="29757B77" w14:textId="77777777" w:rsidR="00545BEF" w:rsidRPr="000A3488" w:rsidRDefault="00545BEF" w:rsidP="00545BEF">
      <w:pPr>
        <w:spacing w:after="0" w:line="360" w:lineRule="auto"/>
        <w:jc w:val="both"/>
        <w:rPr>
          <w:rFonts w:ascii="Arial" w:hAnsi="Arial" w:cs="Arial"/>
          <w:sz w:val="14"/>
          <w:szCs w:val="14"/>
        </w:rPr>
      </w:pPr>
    </w:p>
    <w:p w14:paraId="17CA1940" w14:textId="6C122B88" w:rsidR="00821651" w:rsidRDefault="00545BEF" w:rsidP="00CD3A04">
      <w:pPr>
        <w:jc w:val="both"/>
      </w:pPr>
      <w:r>
        <w:rPr>
          <w:rFonts w:ascii="Arial" w:hAnsi="Arial" w:cs="Arial"/>
          <w:sz w:val="24"/>
          <w:szCs w:val="24"/>
        </w:rPr>
        <w:t xml:space="preserve">In order to suffice the electricity distribution requirement under Wardha, Arvi and Hinganghat divisions of Nagpur zone and to ensure uninterrupted supply of electricity to the industries and public, it was required to execute certain capital works and maintenance/augmentation works. This would have resulted in enhancing and strengthening the electricity distribution system and network in the region for a period of next 10 years. Sharda executed said project through Rudranee Infrastructure Ltd as their </w:t>
      </w:r>
      <w:r w:rsidR="00CD3A04">
        <w:rPr>
          <w:rFonts w:ascii="Arial" w:hAnsi="Arial" w:cs="Arial"/>
          <w:sz w:val="24"/>
          <w:szCs w:val="24"/>
        </w:rPr>
        <w:t xml:space="preserve">sub-contractor. The scope of the work involved 33/11 Kv sub-stations, 33/11 Kv Additional Power Transformers, Augmentation of Power Transformers of various capacity, 33/11 Kv indoor to outdoor sub-stations, HT and LT Lines, New Distribution Transformers of various capacity, Augmentation of Distribution Transformers, Underground cable and other Repair and Maintenance works.  </w:t>
      </w:r>
    </w:p>
    <w:sectPr w:rsidR="00821651"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EF"/>
    <w:rsid w:val="00351914"/>
    <w:rsid w:val="00545BEF"/>
    <w:rsid w:val="009C336B"/>
    <w:rsid w:val="00CD3A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9398"/>
  <w15:chartTrackingRefBased/>
  <w15:docId w15:val="{70B52770-6B89-407C-9C53-9B690DDD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BEF"/>
    <w:pPr>
      <w:spacing w:after="200" w:line="276" w:lineRule="auto"/>
    </w:pPr>
    <w:rPr>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Kulkarni</dc:creator>
  <cp:keywords/>
  <dc:description/>
  <cp:lastModifiedBy>Nikhil Kulkarni</cp:lastModifiedBy>
  <cp:revision>1</cp:revision>
  <dcterms:created xsi:type="dcterms:W3CDTF">2020-05-21T12:13:00Z</dcterms:created>
  <dcterms:modified xsi:type="dcterms:W3CDTF">2020-05-21T12:28:00Z</dcterms:modified>
</cp:coreProperties>
</file>