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Calibri" w:hAnsi="Calibri"/>
          <w:b/>
          <w:color w:val="1E3A8A"/>
          <w:sz w:val="52"/>
        </w:rPr>
        <w:t>MPLADS AI/ML Intelligence &amp; Transparency Platform</w:t>
      </w:r>
    </w:p>
    <w:p>
      <w:pPr>
        <w:spacing w:before="0" w:after="360"/>
      </w:pPr>
      <w:r>
        <w:rPr>
          <w:rFonts w:ascii="Calibri" w:hAnsi="Calibri"/>
          <w:color w:val="4B5563"/>
          <w:sz w:val="26"/>
        </w:rPr>
        <w:t>Comprehensive Technical Documentation: Full System Architecture, Feature Modules, Machine Learning Models, and Libraries Reference</w:t>
      </w:r>
    </w:p>
    <w:tbl>
      <w:tblPr>
        <w:tblW w:type="auto" w:w="0"/>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Pr>
          <w:p>
            <w:pPr>
              <w:spacing w:after="0"/>
            </w:pPr>
            <w:r>
              <w:rPr>
                <w:rFonts w:ascii="Calibri" w:hAnsi="Calibri"/>
                <w:color w:val="334155"/>
                <w:sz w:val="19"/>
              </w:rPr>
              <w:t>Project Name: MPLADS AI/ML Platform | Version: 1.0.0 Production Architecture</w:t>
              <w:br/>
              <w:t>Scheme Authority: Ministry of Statistics and Programme Implementation (MoSPI), Government of India</w:t>
              <w:br/>
              <w:t>Author: Antigravity AI Engineering Team | Status: Complete &amp; Verified</w:t>
            </w:r>
          </w:p>
        </w:tc>
      </w:tr>
    </w:tbl>
    <w:p>
      <w:pPr>
        <w:spacing w:after="240"/>
      </w:pPr>
    </w:p>
    <w:p>
      <w:pPr>
        <w:pStyle w:val="Heading1"/>
        <w:keepNext/>
        <w:spacing w:before="360" w:after="120"/>
      </w:pPr>
      <w:r>
        <w:rPr>
          <w:rFonts w:ascii="Calibri" w:hAnsi="Calibri"/>
          <w:b/>
          <w:color w:val="1E3A8A"/>
          <w:sz w:val="36"/>
        </w:rPr>
        <w:t>1. Executive Summary &amp; Scheme Context</w:t>
      </w:r>
    </w:p>
    <w:p>
      <w:pPr>
        <w:spacing w:before="0" w:after="120" w:line="276" w:lineRule="auto"/>
      </w:pPr>
      <w:r>
        <w:rPr>
          <w:rFonts w:ascii="Calibri" w:hAnsi="Calibri"/>
          <w:color w:val="374151"/>
          <w:sz w:val="21"/>
        </w:rPr>
        <w:t>The Member of Parliament Local Area Development Scheme (MPLADS) is an ongoing Central Sector Scheme administered by the Ministry of Statistics and Programme Implementation (MoSPI). Under official guidelines, each Member of Parliament (both Lok Sabha and Rajya Sabha) is entitled to an annual financial allocation of ₹5.00 Crore (₹500 Lakh) per financial year. These funds are released by the Ministry in two equal, non-lapsable tranches of ₹2.50 Crore each directly to the designated Nodal District Authority. The core objective is enabling Members of Parliament to recommend works of developmental nature with primary focus on creating durable community assets in their constituencies, with statutory mandates allocating at least 15% for Scheduled Caste (SC) areas and 7.5% for Scheduled Tribe (ST) areas.</w:t>
      </w:r>
    </w:p>
    <w:p>
      <w:pPr>
        <w:spacing w:before="0" w:after="120" w:line="276" w:lineRule="auto"/>
      </w:pPr>
      <w:r>
        <w:rPr>
          <w:rFonts w:ascii="Calibri" w:hAnsi="Calibri"/>
          <w:b/>
          <w:color w:val="111827"/>
          <w:sz w:val="21"/>
        </w:rPr>
        <w:t xml:space="preserve">Core Operational Vulnerabilities: </w:t>
      </w:r>
      <w:r>
        <w:rPr>
          <w:rFonts w:ascii="Calibri" w:hAnsi="Calibri"/>
          <w:color w:val="374151"/>
          <w:sz w:val="21"/>
        </w:rPr>
        <w:t>Despite its immense nationwide developmental reach, manual auditing and fragmented state portals have historically faced critical structural challenges:</w:t>
      </w:r>
    </w:p>
    <w:p>
      <w:pPr>
        <w:pStyle w:val="ListBullet"/>
        <w:spacing w:before="20" w:after="60" w:line="276" w:lineRule="auto"/>
      </w:pPr>
      <w:r>
        <w:rPr>
          <w:rFonts w:ascii="Calibri" w:hAnsi="Calibri"/>
          <w:b/>
          <w:color w:val="1F2937"/>
          <w:sz w:val="20"/>
        </w:rPr>
        <w:t xml:space="preserve">Physical-Financial Divergence: </w:t>
      </w:r>
      <w:r>
        <w:rPr>
          <w:rFonts w:ascii="Calibri" w:hAnsi="Calibri"/>
          <w:color w:val="4B5563"/>
          <w:sz w:val="20"/>
        </w:rPr>
        <w:t>Works where financial disbursements reach 80%-100% while on-ground physical execution remains under 20%, indicating severe fund leakage or contractor misappropriation.</w:t>
      </w:r>
    </w:p>
    <w:p>
      <w:pPr>
        <w:pStyle w:val="ListBullet"/>
        <w:spacing w:before="20" w:after="60" w:line="276" w:lineRule="auto"/>
      </w:pPr>
      <w:r>
        <w:rPr>
          <w:rFonts w:ascii="Calibri" w:hAnsi="Calibri"/>
          <w:b/>
          <w:color w:val="1F2937"/>
          <w:sz w:val="20"/>
        </w:rPr>
        <w:t xml:space="preserve">Split-Invoicing Under ₹25 Lakh: </w:t>
      </w:r>
      <w:r>
        <w:rPr>
          <w:rFonts w:ascii="Calibri" w:hAnsi="Calibri"/>
          <w:color w:val="4B5563"/>
          <w:sz w:val="20"/>
        </w:rPr>
        <w:t>Artificially segmenting large civil works into sub-₹25 Lakh projects to deliberately bypass open e-tendering rules mandated by General Financial Rules (GFR).</w:t>
      </w:r>
    </w:p>
    <w:p>
      <w:pPr>
        <w:pStyle w:val="ListBullet"/>
        <w:spacing w:before="20" w:after="60" w:line="276" w:lineRule="auto"/>
      </w:pPr>
      <w:r>
        <w:rPr>
          <w:rFonts w:ascii="Calibri" w:hAnsi="Calibri"/>
          <w:b/>
          <w:color w:val="1F2937"/>
          <w:sz w:val="20"/>
        </w:rPr>
        <w:t xml:space="preserve">Ghost &amp; Re-Financed Assets: </w:t>
      </w:r>
      <w:r>
        <w:rPr>
          <w:rFonts w:ascii="Calibri" w:hAnsi="Calibri"/>
          <w:color w:val="4B5563"/>
          <w:sz w:val="20"/>
        </w:rPr>
        <w:t>Civil projects funded simultaneously under multiple central or state schemes (e.g., PMGSY, Samagra Shiksha, State PWD) or verified using fraudulent, recycled photographs.</w:t>
      </w:r>
    </w:p>
    <w:p>
      <w:pPr>
        <w:pStyle w:val="ListBullet"/>
        <w:spacing w:before="20" w:after="60" w:line="276" w:lineRule="auto"/>
      </w:pPr>
      <w:r>
        <w:rPr>
          <w:rFonts w:ascii="Calibri" w:hAnsi="Calibri"/>
          <w:b/>
          <w:color w:val="1F2937"/>
          <w:sz w:val="20"/>
        </w:rPr>
        <w:t xml:space="preserve">Vendor Cartelization &amp; Collusion: </w:t>
      </w:r>
      <w:r>
        <w:rPr>
          <w:rFonts w:ascii="Calibri" w:hAnsi="Calibri"/>
          <w:color w:val="4B5563"/>
          <w:sz w:val="20"/>
        </w:rPr>
        <w:t>Concentration of civil contracts awarded to a small cluster of interconnected vendors with shared addresses, directors, and non-competitive rotating bids.</w:t>
      </w:r>
    </w:p>
    <w:p>
      <w:pPr>
        <w:pStyle w:val="ListBullet"/>
        <w:spacing w:before="20" w:after="60" w:line="276" w:lineRule="auto"/>
      </w:pPr>
      <w:r>
        <w:rPr>
          <w:rFonts w:ascii="Calibri" w:hAnsi="Calibri"/>
          <w:b/>
          <w:color w:val="1F2937"/>
          <w:sz w:val="20"/>
        </w:rPr>
        <w:t xml:space="preserve">Citizen Grievance Resolution Latency: </w:t>
      </w:r>
      <w:r>
        <w:rPr>
          <w:rFonts w:ascii="Calibri" w:hAnsi="Calibri"/>
          <w:color w:val="4B5563"/>
          <w:sz w:val="20"/>
        </w:rPr>
        <w:t>Complaints submitted across paper channels taking months to be routed to the appropriate District Magistrates, with no transparent SLA tracking.</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24" w:space="0" w:color="2563EB"/>
              <w:top w:val="none"/>
              <w:bottom w:val="none"/>
              <w:right w:val="none"/>
            </w:tcBorders>
          </w:tcPr>
          <w:p>
            <w:pPr>
              <w:spacing w:before="0" w:after="40"/>
            </w:pPr>
            <w:r>
              <w:rPr>
                <w:rFonts w:ascii="Calibri" w:hAnsi="Calibri"/>
                <w:b/>
                <w:color w:val="1E40AF"/>
                <w:sz w:val="20"/>
              </w:rPr>
              <w:t>[PLATFORM VALUE PROPOSITION]</w:t>
              <w:br/>
            </w:r>
            <w:r>
              <w:rPr>
                <w:rFonts w:ascii="Calibri" w:hAnsi="Calibri"/>
                <w:color w:val="1F2937"/>
                <w:sz w:val="20"/>
              </w:rPr>
              <w:t>The MPLADS AI/ML Intelligence Platform transforms scheme oversight from retroactive post-completion audits to predictive, real-time telemetry. By integrating an ensemble of machine learning classifiers, graph network algorithms, computer vision geo-verification, and a Retrieval-Augmented Generation (RAG) assistant powered by Google Gemini 3.6 Flash, the platform delivers end-to-end transparency across all 543 Lok Sabha constituencies and Rajya Sabha works.</w:t>
            </w:r>
          </w:p>
        </w:tc>
      </w:tr>
    </w:tbl>
    <w:p>
      <w:pPr>
        <w:spacing w:before="0" w:after="120"/>
      </w:pPr>
    </w:p>
    <w:p>
      <w:pPr>
        <w:pStyle w:val="Heading1"/>
        <w:keepNext/>
        <w:spacing w:before="360" w:after="120"/>
      </w:pPr>
      <w:r>
        <w:rPr>
          <w:rFonts w:ascii="Calibri" w:hAnsi="Calibri"/>
          <w:b/>
          <w:color w:val="1E3A8A"/>
          <w:sz w:val="36"/>
        </w:rPr>
        <w:t>2. End-to-End System Architecture</w:t>
      </w:r>
    </w:p>
    <w:p>
      <w:pPr>
        <w:spacing w:before="0" w:after="120" w:line="276" w:lineRule="auto"/>
      </w:pPr>
      <w:r>
        <w:rPr>
          <w:rFonts w:ascii="Calibri" w:hAnsi="Calibri"/>
          <w:color w:val="374151"/>
          <w:sz w:val="21"/>
        </w:rPr>
        <w:t>The system is engineered following a modular, highly decoupled 3-tier architecture that guarantees fault tolerance, low-latency user interaction, and microsecond data filtering:</w:t>
      </w:r>
    </w:p>
    <w:p>
      <w:pPr>
        <w:pStyle w:val="Heading2"/>
        <w:keepNext/>
        <w:spacing w:before="280" w:after="80"/>
      </w:pPr>
      <w:r>
        <w:rPr>
          <w:rFonts w:ascii="Calibri" w:hAnsi="Calibri"/>
          <w:b/>
          <w:color w:val="2563EB"/>
          <w:sz w:val="28"/>
        </w:rPr>
        <w:t>2.1 Tier 1 — Web Presentation Layer (Next.js 14 App Router)</w:t>
      </w:r>
    </w:p>
    <w:p>
      <w:pPr>
        <w:spacing w:before="0" w:after="120" w:line="276" w:lineRule="auto"/>
      </w:pPr>
      <w:r>
        <w:rPr>
          <w:rFonts w:ascii="Calibri" w:hAnsi="Calibri"/>
          <w:color w:val="374151"/>
          <w:sz w:val="21"/>
        </w:rPr>
        <w:t>The client-facing application is built with Next.js 14 utilizing the modern App Router architecture, TypeScript, and Tailwind CSS. It provides high-performance server-rendered and statically optimized dashboards tailored for five distinct user roles: Citizen, District Magistrate / Collector, Member of Parliament, State Planning Officer, and Ministry Official. The user interface adopts a crisp, modern light foundation free of distracting glassmorphism, paired with strategic vibrant accents (#2563eb Royal Blue, #7c3aed Electric Violet, #10b981 Emerald, #f59e0b Amber, and #ef4444 Rose) to convey urgency, risk levels, and analytical insights.</w:t>
      </w:r>
    </w:p>
    <w:p>
      <w:pPr>
        <w:pStyle w:val="Heading2"/>
        <w:keepNext/>
        <w:spacing w:before="280" w:after="80"/>
      </w:pPr>
      <w:r>
        <w:rPr>
          <w:rFonts w:ascii="Calibri" w:hAnsi="Calibri"/>
          <w:b/>
          <w:color w:val="2563EB"/>
          <w:sz w:val="28"/>
        </w:rPr>
        <w:t>2.2 Tier 2 — Business Logic &amp; API Gateway (Node.js / Express)</w:t>
      </w:r>
    </w:p>
    <w:p>
      <w:pPr>
        <w:spacing w:before="0" w:after="120" w:line="276" w:lineRule="auto"/>
      </w:pPr>
      <w:r>
        <w:rPr>
          <w:rFonts w:ascii="Calibri" w:hAnsi="Calibri"/>
          <w:color w:val="374151"/>
          <w:sz w:val="21"/>
        </w:rPr>
        <w:t>The middle-tier application server is powered by Node.js and Express in TypeScript. It acts as the secure API Gateway handling JWT authentication, role-based access control (RBAC), multi-criteria search over 12,937 works, notification persistence, audit evidence bundle generation, and automated SLA deadline tracking via BullMQ queues and resilient in-memory timer fallbacks.</w:t>
      </w:r>
    </w:p>
    <w:p>
      <w:pPr>
        <w:pStyle w:val="Heading2"/>
        <w:keepNext/>
        <w:spacing w:before="280" w:after="80"/>
      </w:pPr>
      <w:r>
        <w:rPr>
          <w:rFonts w:ascii="Calibri" w:hAnsi="Calibri"/>
          <w:b/>
          <w:color w:val="2563EB"/>
          <w:sz w:val="28"/>
        </w:rPr>
        <w:t>2.3 Tier 3 — Machine Learning &amp; Intelligence Engine (FastAPI &amp; Gemini RAG)</w:t>
      </w:r>
    </w:p>
    <w:p>
      <w:pPr>
        <w:spacing w:before="0" w:after="120" w:line="276" w:lineRule="auto"/>
      </w:pPr>
      <w:r>
        <w:rPr>
          <w:rFonts w:ascii="Calibri" w:hAnsi="Calibri"/>
          <w:color w:val="374151"/>
          <w:sz w:val="21"/>
        </w:rPr>
        <w:t>The analytical core is implemented in Python 3.11+ using FastAPI and Uvicorn. It hosts the 6 specialized AI/ML intelligence engines, including tree-based anomaly regressors, image EXIF/spatial geo-validators, NetworkX graph community analyzers, and a state-of-the-art FAISS vector index (14,213 vectors embedded with sentence-transformers 'all-MiniLM-L6-v2') coupled with Google Gemini 3.6 Flash for grounded natural language conversational question-answering.</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340"/>
        <w:gridCol w:w="2340"/>
        <w:gridCol w:w="2340"/>
        <w:gridCol w:w="2340"/>
      </w:tblGrid>
      <w:tr>
        <w:tc>
          <w:tcPr>
            <w:tcW w:type="dxa" w:w="1584"/>
            <w:shd w:fill="1E3A8A"/>
            <w:tcMar>
              <w:top w:w="120" w:type="dxa"/>
              <w:bottom w:w="120" w:type="dxa"/>
              <w:left w:w="140" w:type="dxa"/>
              <w:right w:w="140" w:type="dxa"/>
            </w:tcMar>
          </w:tcPr>
          <w:p>
            <w:pPr>
              <w:spacing w:before="0" w:after="0"/>
            </w:pPr>
            <w:r>
              <w:rPr>
                <w:rFonts w:ascii="Calibri" w:hAnsi="Calibri"/>
                <w:b/>
                <w:color w:val="FFFFFF"/>
                <w:sz w:val="19"/>
              </w:rPr>
              <w:t>Tier</w:t>
            </w:r>
          </w:p>
        </w:tc>
        <w:tc>
          <w:tcPr>
            <w:tcW w:type="dxa" w:w="2304"/>
            <w:shd w:fill="1E3A8A"/>
            <w:tcMar>
              <w:top w:w="120" w:type="dxa"/>
              <w:bottom w:w="120" w:type="dxa"/>
              <w:left w:w="140" w:type="dxa"/>
              <w:right w:w="140" w:type="dxa"/>
            </w:tcMar>
          </w:tcPr>
          <w:p>
            <w:pPr>
              <w:spacing w:before="0" w:after="0"/>
            </w:pPr>
            <w:r>
              <w:rPr>
                <w:rFonts w:ascii="Calibri" w:hAnsi="Calibri"/>
                <w:b/>
                <w:color w:val="FFFFFF"/>
                <w:sz w:val="19"/>
              </w:rPr>
              <w:t>Primary Technology</w:t>
            </w:r>
          </w:p>
        </w:tc>
        <w:tc>
          <w:tcPr>
            <w:tcW w:type="dxa" w:w="1872"/>
            <w:shd w:fill="1E3A8A"/>
            <w:tcMar>
              <w:top w:w="120" w:type="dxa"/>
              <w:bottom w:w="120" w:type="dxa"/>
              <w:left w:w="140" w:type="dxa"/>
              <w:right w:w="140" w:type="dxa"/>
            </w:tcMar>
          </w:tcPr>
          <w:p>
            <w:pPr>
              <w:spacing w:before="0" w:after="0"/>
            </w:pPr>
            <w:r>
              <w:rPr>
                <w:rFonts w:ascii="Calibri" w:hAnsi="Calibri"/>
                <w:b/>
                <w:color w:val="FFFFFF"/>
                <w:sz w:val="19"/>
              </w:rPr>
              <w:t>Port / Protocol</w:t>
            </w:r>
          </w:p>
        </w:tc>
        <w:tc>
          <w:tcPr>
            <w:tcW w:type="dxa" w:w="3600"/>
            <w:shd w:fill="1E3A8A"/>
            <w:tcMar>
              <w:top w:w="120" w:type="dxa"/>
              <w:bottom w:w="120" w:type="dxa"/>
              <w:left w:w="140" w:type="dxa"/>
              <w:right w:w="140" w:type="dxa"/>
            </w:tcMar>
          </w:tcPr>
          <w:p>
            <w:pPr>
              <w:spacing w:before="0" w:after="0"/>
            </w:pPr>
            <w:r>
              <w:rPr>
                <w:rFonts w:ascii="Calibri" w:hAnsi="Calibri"/>
                <w:b/>
                <w:color w:val="FFFFFF"/>
                <w:sz w:val="19"/>
              </w:rPr>
              <w:t>Core Responsibilities</w:t>
            </w:r>
          </w:p>
        </w:tc>
      </w:tr>
      <w:tr>
        <w:tc>
          <w:tcPr>
            <w:tcW w:type="dxa" w:w="1584"/>
            <w:shd w:fill="FFFFFF"/>
            <w:tcMar>
              <w:top w:w="100" w:type="dxa"/>
              <w:bottom w:w="100" w:type="dxa"/>
              <w:left w:w="140" w:type="dxa"/>
              <w:right w:w="140" w:type="dxa"/>
            </w:tcMar>
          </w:tcPr>
          <w:p>
            <w:pPr>
              <w:spacing w:before="0" w:after="0"/>
            </w:pPr>
            <w:r>
              <w:rPr>
                <w:rFonts w:ascii="Calibri" w:hAnsi="Calibri"/>
                <w:color w:val="1F2937"/>
                <w:sz w:val="18"/>
              </w:rPr>
              <w:t>Tier 1: Frontend</w:t>
            </w:r>
          </w:p>
        </w:tc>
        <w:tc>
          <w:tcPr>
            <w:tcW w:type="dxa" w:w="2304"/>
            <w:shd w:fill="FFFFFF"/>
            <w:tcMar>
              <w:top w:w="100" w:type="dxa"/>
              <w:bottom w:w="100" w:type="dxa"/>
              <w:left w:w="140" w:type="dxa"/>
              <w:right w:w="140" w:type="dxa"/>
            </w:tcMar>
          </w:tcPr>
          <w:p>
            <w:pPr>
              <w:spacing w:before="0" w:after="0"/>
            </w:pPr>
            <w:r>
              <w:rPr>
                <w:rFonts w:ascii="Calibri" w:hAnsi="Calibri"/>
                <w:color w:val="1F2937"/>
                <w:sz w:val="18"/>
              </w:rPr>
              <w:t>Next.js 14, React 18, Tailwind CSS</w:t>
            </w:r>
          </w:p>
        </w:tc>
        <w:tc>
          <w:tcPr>
            <w:tcW w:type="dxa" w:w="1872"/>
            <w:shd w:fill="FFFFFF"/>
            <w:tcMar>
              <w:top w:w="100" w:type="dxa"/>
              <w:bottom w:w="100" w:type="dxa"/>
              <w:left w:w="140" w:type="dxa"/>
              <w:right w:w="140" w:type="dxa"/>
            </w:tcMar>
          </w:tcPr>
          <w:p>
            <w:pPr>
              <w:spacing w:before="0" w:after="0"/>
            </w:pPr>
            <w:r>
              <w:rPr>
                <w:rFonts w:ascii="Calibri" w:hAnsi="Calibri"/>
                <w:color w:val="1F2937"/>
                <w:sz w:val="18"/>
              </w:rPr>
              <w:t>Port 3000 (HTTP/HTTPS)</w:t>
            </w:r>
          </w:p>
        </w:tc>
        <w:tc>
          <w:tcPr>
            <w:tcW w:type="dxa" w:w="3600"/>
            <w:shd w:fill="FFFFFF"/>
            <w:tcMar>
              <w:top w:w="100" w:type="dxa"/>
              <w:bottom w:w="100" w:type="dxa"/>
              <w:left w:w="140" w:type="dxa"/>
              <w:right w:w="140" w:type="dxa"/>
            </w:tcMar>
          </w:tcPr>
          <w:p>
            <w:pPr>
              <w:spacing w:before="0" w:after="0"/>
            </w:pPr>
            <w:r>
              <w:rPr>
                <w:rFonts w:ascii="Calibri" w:hAnsi="Calibri"/>
                <w:color w:val="1F2937"/>
                <w:sz w:val="18"/>
              </w:rPr>
              <w:t>Role-based dashboards, interactive charts, Copilot chat, responsive modals.</w:t>
            </w:r>
          </w:p>
        </w:tc>
      </w:tr>
      <w:tr>
        <w:tc>
          <w:tcPr>
            <w:tcW w:type="dxa" w:w="1584"/>
            <w:shd w:fill="F8FAFC"/>
            <w:tcMar>
              <w:top w:w="100" w:type="dxa"/>
              <w:bottom w:w="100" w:type="dxa"/>
              <w:left w:w="140" w:type="dxa"/>
              <w:right w:w="140" w:type="dxa"/>
            </w:tcMar>
          </w:tcPr>
          <w:p>
            <w:pPr>
              <w:spacing w:before="0" w:after="0"/>
            </w:pPr>
            <w:r>
              <w:rPr>
                <w:rFonts w:ascii="Calibri" w:hAnsi="Calibri"/>
                <w:color w:val="1F2937"/>
                <w:sz w:val="18"/>
              </w:rPr>
              <w:t>Tier 2: API Gateway</w:t>
            </w:r>
          </w:p>
        </w:tc>
        <w:tc>
          <w:tcPr>
            <w:tcW w:type="dxa" w:w="2304"/>
            <w:shd w:fill="F8FAFC"/>
            <w:tcMar>
              <w:top w:w="100" w:type="dxa"/>
              <w:bottom w:w="100" w:type="dxa"/>
              <w:left w:w="140" w:type="dxa"/>
              <w:right w:w="140" w:type="dxa"/>
            </w:tcMar>
          </w:tcPr>
          <w:p>
            <w:pPr>
              <w:spacing w:before="0" w:after="0"/>
            </w:pPr>
            <w:r>
              <w:rPr>
                <w:rFonts w:ascii="Calibri" w:hAnsi="Calibri"/>
                <w:color w:val="1F2937"/>
                <w:sz w:val="18"/>
              </w:rPr>
              <w:t>Node.js, Express, TypeScript</w:t>
            </w:r>
          </w:p>
        </w:tc>
        <w:tc>
          <w:tcPr>
            <w:tcW w:type="dxa" w:w="1872"/>
            <w:shd w:fill="F8FAFC"/>
            <w:tcMar>
              <w:top w:w="100" w:type="dxa"/>
              <w:bottom w:w="100" w:type="dxa"/>
              <w:left w:w="140" w:type="dxa"/>
              <w:right w:w="140" w:type="dxa"/>
            </w:tcMar>
          </w:tcPr>
          <w:p>
            <w:pPr>
              <w:spacing w:before="0" w:after="0"/>
            </w:pPr>
            <w:r>
              <w:rPr>
                <w:rFonts w:ascii="Calibri" w:hAnsi="Calibri"/>
                <w:color w:val="1F2937"/>
                <w:sz w:val="18"/>
              </w:rPr>
              <w:t>Port 5000 (REST / JSON)</w:t>
            </w:r>
          </w:p>
        </w:tc>
        <w:tc>
          <w:tcPr>
            <w:tcW w:type="dxa" w:w="3600"/>
            <w:shd w:fill="F8FAFC"/>
            <w:tcMar>
              <w:top w:w="100" w:type="dxa"/>
              <w:bottom w:w="100" w:type="dxa"/>
              <w:left w:w="140" w:type="dxa"/>
              <w:right w:w="140" w:type="dxa"/>
            </w:tcMar>
          </w:tcPr>
          <w:p>
            <w:pPr>
              <w:spacing w:before="0" w:after="0"/>
            </w:pPr>
            <w:r>
              <w:rPr>
                <w:rFonts w:ascii="Calibri" w:hAnsi="Calibri"/>
                <w:color w:val="1F2937"/>
                <w:sz w:val="18"/>
              </w:rPr>
              <w:t>JWT auth, RBAC middleware, SLA queue monitoring, alert management, data proxy.</w:t>
            </w:r>
          </w:p>
        </w:tc>
      </w:tr>
      <w:tr>
        <w:tc>
          <w:tcPr>
            <w:tcW w:type="dxa" w:w="1584"/>
            <w:shd w:fill="FFFFFF"/>
            <w:tcMar>
              <w:top w:w="100" w:type="dxa"/>
              <w:bottom w:w="100" w:type="dxa"/>
              <w:left w:w="140" w:type="dxa"/>
              <w:right w:w="140" w:type="dxa"/>
            </w:tcMar>
          </w:tcPr>
          <w:p>
            <w:pPr>
              <w:spacing w:before="0" w:after="0"/>
            </w:pPr>
            <w:r>
              <w:rPr>
                <w:rFonts w:ascii="Calibri" w:hAnsi="Calibri"/>
                <w:color w:val="1F2937"/>
                <w:sz w:val="18"/>
              </w:rPr>
              <w:t>Tier 3: ML Engine</w:t>
            </w:r>
          </w:p>
        </w:tc>
        <w:tc>
          <w:tcPr>
            <w:tcW w:type="dxa" w:w="2304"/>
            <w:shd w:fill="FFFFFF"/>
            <w:tcMar>
              <w:top w:w="100" w:type="dxa"/>
              <w:bottom w:w="100" w:type="dxa"/>
              <w:left w:w="140" w:type="dxa"/>
              <w:right w:w="140" w:type="dxa"/>
            </w:tcMar>
          </w:tcPr>
          <w:p>
            <w:pPr>
              <w:spacing w:before="0" w:after="0"/>
            </w:pPr>
            <w:r>
              <w:rPr>
                <w:rFonts w:ascii="Calibri" w:hAnsi="Calibri"/>
                <w:color w:val="1F2937"/>
                <w:sz w:val="18"/>
              </w:rPr>
              <w:t>FastAPI, Uvicorn, PyTorch, FAISS</w:t>
            </w:r>
          </w:p>
        </w:tc>
        <w:tc>
          <w:tcPr>
            <w:tcW w:type="dxa" w:w="1872"/>
            <w:shd w:fill="FFFFFF"/>
            <w:tcMar>
              <w:top w:w="100" w:type="dxa"/>
              <w:bottom w:w="100" w:type="dxa"/>
              <w:left w:w="140" w:type="dxa"/>
              <w:right w:w="140" w:type="dxa"/>
            </w:tcMar>
          </w:tcPr>
          <w:p>
            <w:pPr>
              <w:spacing w:before="0" w:after="0"/>
            </w:pPr>
            <w:r>
              <w:rPr>
                <w:rFonts w:ascii="Calibri" w:hAnsi="Calibri"/>
                <w:color w:val="1F2937"/>
                <w:sz w:val="18"/>
              </w:rPr>
              <w:t>Port 8000 (REST / ASGI)</w:t>
            </w:r>
          </w:p>
        </w:tc>
        <w:tc>
          <w:tcPr>
            <w:tcW w:type="dxa" w:w="3600"/>
            <w:shd w:fill="FFFFFF"/>
            <w:tcMar>
              <w:top w:w="100" w:type="dxa"/>
              <w:bottom w:w="100" w:type="dxa"/>
              <w:left w:w="140" w:type="dxa"/>
              <w:right w:w="140" w:type="dxa"/>
            </w:tcMar>
          </w:tcPr>
          <w:p>
            <w:pPr>
              <w:spacing w:before="0" w:after="0"/>
            </w:pPr>
            <w:r>
              <w:rPr>
                <w:rFonts w:ascii="Calibri" w:hAnsi="Calibri"/>
                <w:color w:val="1F2937"/>
                <w:sz w:val="18"/>
              </w:rPr>
              <w:t>Risk scoring, vision geo-verify, network graph, complaint clustering, Gemini RAG.</w:t>
            </w:r>
          </w:p>
        </w:tc>
      </w:tr>
      <w:tr>
        <w:tc>
          <w:tcPr>
            <w:tcW w:type="dxa" w:w="1584"/>
            <w:shd w:fill="F8FAFC"/>
            <w:tcMar>
              <w:top w:w="100" w:type="dxa"/>
              <w:bottom w:w="100" w:type="dxa"/>
              <w:left w:w="140" w:type="dxa"/>
              <w:right w:w="140" w:type="dxa"/>
            </w:tcMar>
          </w:tcPr>
          <w:p>
            <w:pPr>
              <w:spacing w:before="0" w:after="0"/>
            </w:pPr>
            <w:r>
              <w:rPr>
                <w:rFonts w:ascii="Calibri" w:hAnsi="Calibri"/>
                <w:color w:val="1F2937"/>
                <w:sz w:val="18"/>
              </w:rPr>
              <w:t>Data Store</w:t>
            </w:r>
          </w:p>
        </w:tc>
        <w:tc>
          <w:tcPr>
            <w:tcW w:type="dxa" w:w="2304"/>
            <w:shd w:fill="F8FAFC"/>
            <w:tcMar>
              <w:top w:w="100" w:type="dxa"/>
              <w:bottom w:w="100" w:type="dxa"/>
              <w:left w:w="140" w:type="dxa"/>
              <w:right w:w="140" w:type="dxa"/>
            </w:tcMar>
          </w:tcPr>
          <w:p>
            <w:pPr>
              <w:spacing w:before="0" w:after="0"/>
            </w:pPr>
            <w:r>
              <w:rPr>
                <w:rFonts w:ascii="Calibri" w:hAnsi="Calibri"/>
                <w:color w:val="1F2937"/>
                <w:sz w:val="18"/>
              </w:rPr>
              <w:t>CSV Datasets + FAISS Vector Index</w:t>
            </w:r>
          </w:p>
        </w:tc>
        <w:tc>
          <w:tcPr>
            <w:tcW w:type="dxa" w:w="1872"/>
            <w:shd w:fill="F8FAFC"/>
            <w:tcMar>
              <w:top w:w="100" w:type="dxa"/>
              <w:bottom w:w="100" w:type="dxa"/>
              <w:left w:w="140" w:type="dxa"/>
              <w:right w:w="140" w:type="dxa"/>
            </w:tcMar>
          </w:tcPr>
          <w:p>
            <w:pPr>
              <w:spacing w:before="0" w:after="0"/>
            </w:pPr>
            <w:r>
              <w:rPr>
                <w:rFonts w:ascii="Calibri" w:hAnsi="Calibri"/>
                <w:color w:val="1F2937"/>
                <w:sz w:val="18"/>
              </w:rPr>
              <w:t>Local / Memory Caching</w:t>
            </w:r>
          </w:p>
        </w:tc>
        <w:tc>
          <w:tcPr>
            <w:tcW w:type="dxa" w:w="3600"/>
            <w:shd w:fill="F8FAFC"/>
            <w:tcMar>
              <w:top w:w="100" w:type="dxa"/>
              <w:bottom w:w="100" w:type="dxa"/>
              <w:left w:w="140" w:type="dxa"/>
              <w:right w:w="140" w:type="dxa"/>
            </w:tcMar>
          </w:tcPr>
          <w:p>
            <w:pPr>
              <w:spacing w:before="0" w:after="0"/>
            </w:pPr>
            <w:r>
              <w:rPr>
                <w:rFonts w:ascii="Calibri" w:hAnsi="Calibri"/>
                <w:color w:val="1F2937"/>
                <w:sz w:val="18"/>
              </w:rPr>
              <w:t>12,937 works, 648 vendors, 543 MPs, 24,233 payment vouchers, 14,213 vectors.</w:t>
            </w:r>
          </w:p>
        </w:tc>
      </w:tr>
    </w:tbl>
    <w:p>
      <w:pPr>
        <w:spacing w:after="160"/>
      </w:pPr>
    </w:p>
    <w:p>
      <w:pPr>
        <w:pStyle w:val="Heading1"/>
        <w:keepNext/>
        <w:spacing w:before="360" w:after="120"/>
      </w:pPr>
      <w:r>
        <w:rPr>
          <w:rFonts w:ascii="Calibri" w:hAnsi="Calibri"/>
          <w:b/>
          <w:color w:val="1E3A8A"/>
          <w:sz w:val="36"/>
        </w:rPr>
        <w:t>3. In-Depth Feature Breakdown &amp; How They Work</w:t>
      </w:r>
    </w:p>
    <w:p>
      <w:pPr>
        <w:pStyle w:val="Heading2"/>
        <w:keepNext/>
        <w:spacing w:before="280" w:after="80"/>
      </w:pPr>
      <w:r>
        <w:rPr>
          <w:rFonts w:ascii="Calibri" w:hAnsi="Calibri"/>
          <w:b/>
          <w:color w:val="2563EB"/>
          <w:sz w:val="28"/>
        </w:rPr>
        <w:t>3.1 Feature 1: Multi-Criteria Anomaly Detection &amp; Risk Scoring</w:t>
      </w:r>
    </w:p>
    <w:p>
      <w:pPr>
        <w:spacing w:before="0" w:after="120" w:line="276" w:lineRule="auto"/>
      </w:pPr>
      <w:r>
        <w:rPr>
          <w:rFonts w:ascii="Calibri" w:hAnsi="Calibri"/>
          <w:b/>
          <w:color w:val="111827"/>
          <w:sz w:val="21"/>
        </w:rPr>
        <w:t xml:space="preserve">Methodology &amp; Algorithms: </w:t>
      </w:r>
      <w:r>
        <w:rPr>
          <w:rFonts w:ascii="Calibri" w:hAnsi="Calibri"/>
          <w:color w:val="374151"/>
          <w:sz w:val="21"/>
        </w:rPr>
        <w:t>The Anomaly Engine evaluates every sanctioned work against a multi-dimensional risk matrix to detect stalled, inflated, or fraudulent civil projects before full funds are disbursed.</w:t>
      </w:r>
    </w:p>
    <w:p>
      <w:pPr>
        <w:pStyle w:val="ListBullet"/>
        <w:spacing w:before="20" w:after="60" w:line="276" w:lineRule="auto"/>
      </w:pPr>
      <w:r>
        <w:rPr>
          <w:rFonts w:ascii="Calibri" w:hAnsi="Calibri"/>
          <w:b/>
          <w:color w:val="1F2937"/>
          <w:sz w:val="20"/>
        </w:rPr>
        <w:t xml:space="preserve">Physical-Financial Progress Divergence: </w:t>
      </w:r>
      <w:r>
        <w:rPr>
          <w:rFonts w:ascii="Calibri" w:hAnsi="Calibri"/>
          <w:color w:val="4B5563"/>
          <w:sz w:val="20"/>
        </w:rPr>
        <w:t>Calculates Earned Value Metric (EVM) variance: Variance = Financial_Progress% - Physical_Progress%. A work with 90% disbursement and 15% physical execution generates a high divergence anomaly flag.</w:t>
      </w:r>
    </w:p>
    <w:p>
      <w:pPr>
        <w:pStyle w:val="ListBullet"/>
        <w:spacing w:before="20" w:after="60" w:line="276" w:lineRule="auto"/>
      </w:pPr>
      <w:r>
        <w:rPr>
          <w:rFonts w:ascii="Calibri" w:hAnsi="Calibri"/>
          <w:b/>
          <w:color w:val="1F2937"/>
          <w:sz w:val="20"/>
        </w:rPr>
        <w:t xml:space="preserve">Time Delay vs Milestone Timeline: </w:t>
      </w:r>
      <w:r>
        <w:rPr>
          <w:rFonts w:ascii="Calibri" w:hAnsi="Calibri"/>
          <w:color w:val="4B5563"/>
          <w:sz w:val="20"/>
        </w:rPr>
        <w:t>Measures elapsed days against sanctioned completion deadline. Delays exceeding 180 days trigger non-linear penalty curves.</w:t>
      </w:r>
    </w:p>
    <w:p>
      <w:pPr>
        <w:pStyle w:val="ListBullet"/>
        <w:spacing w:before="20" w:after="60" w:line="276" w:lineRule="auto"/>
      </w:pPr>
      <w:r>
        <w:rPr>
          <w:rFonts w:ascii="Calibri" w:hAnsi="Calibri"/>
          <w:b/>
          <w:color w:val="1F2937"/>
          <w:sz w:val="20"/>
        </w:rPr>
        <w:t xml:space="preserve">Contractor Risk Exposure: </w:t>
      </w:r>
      <w:r>
        <w:rPr>
          <w:rFonts w:ascii="Calibri" w:hAnsi="Calibri"/>
          <w:color w:val="4B5563"/>
          <w:sz w:val="20"/>
        </w:rPr>
        <w:t>Evaluates contractor workload concentration (ratio of ongoing works to contractor capacity) and historical delay frequency.</w:t>
      </w:r>
    </w:p>
    <w:p>
      <w:pPr>
        <w:pStyle w:val="ListBullet"/>
        <w:spacing w:before="20" w:after="60" w:line="276" w:lineRule="auto"/>
      </w:pPr>
      <w:r>
        <w:rPr>
          <w:rFonts w:ascii="Calibri" w:hAnsi="Calibri"/>
          <w:b/>
          <w:color w:val="1F2937"/>
          <w:sz w:val="20"/>
        </w:rPr>
        <w:t xml:space="preserve">Composite Risk Score (0-100): </w:t>
      </w:r>
      <w:r>
        <w:rPr>
          <w:rFonts w:ascii="Calibri" w:hAnsi="Calibri"/>
          <w:color w:val="4B5563"/>
          <w:sz w:val="20"/>
        </w:rPr>
        <w:t>Aggregates weighted factor scores into a standardized risk index: Score &lt; 35 (Low / Green), 35-65 (Medium / Amber), 65-85 (High / Orange), &gt; 85 (Critical / Red).</w:t>
      </w:r>
    </w:p>
    <w:p>
      <w:pPr>
        <w:spacing w:before="0" w:after="120" w:line="276" w:lineRule="auto"/>
      </w:pPr>
      <w:r>
        <w:rPr>
          <w:rFonts w:ascii="Calibri" w:hAnsi="Calibri"/>
          <w:b/>
          <w:color w:val="111827"/>
          <w:sz w:val="21"/>
        </w:rPr>
        <w:t xml:space="preserve">Technical Implementation: </w:t>
      </w:r>
      <w:r>
        <w:rPr>
          <w:rFonts w:ascii="Calibri" w:hAnsi="Calibri"/>
          <w:color w:val="374151"/>
          <w:sz w:val="21"/>
        </w:rPr>
        <w:t>Implementation: Located in mplads_ai/models/anomaly_detector.py using Scikit-Learn Random Forest &amp; XGBoost classifiers, exposed via POST /api/works/{id}/risk-profile and POST /api/ml/score.</w:t>
      </w:r>
    </w:p>
    <w:p>
      <w:pPr>
        <w:pStyle w:val="Heading2"/>
        <w:keepNext/>
        <w:spacing w:before="280" w:after="80"/>
      </w:pPr>
      <w:r>
        <w:rPr>
          <w:rFonts w:ascii="Calibri" w:hAnsi="Calibri"/>
          <w:b/>
          <w:color w:val="2563EB"/>
          <w:sz w:val="28"/>
        </w:rPr>
        <w:t>3.2 Feature 2: Vision &amp; Spatial Geo-Verification (Anti-Ghost Works)</w:t>
      </w:r>
    </w:p>
    <w:p>
      <w:pPr>
        <w:spacing w:before="0" w:after="120" w:line="276" w:lineRule="auto"/>
      </w:pPr>
      <w:r>
        <w:rPr>
          <w:rFonts w:ascii="Calibri" w:hAnsi="Calibri"/>
          <w:b/>
          <w:color w:val="111827"/>
          <w:sz w:val="21"/>
        </w:rPr>
        <w:t xml:space="preserve">Methodology &amp; Algorithms: </w:t>
      </w:r>
      <w:r>
        <w:rPr>
          <w:rFonts w:ascii="Calibri" w:hAnsi="Calibri"/>
          <w:color w:val="374151"/>
          <w:sz w:val="21"/>
        </w:rPr>
        <w:t>To combat ghost projects where photographic completion certificates are falsified or reused, the vision module performs automated multi-stage inspection of inspection photographs.</w:t>
      </w:r>
    </w:p>
    <w:p>
      <w:pPr>
        <w:pStyle w:val="ListBullet"/>
        <w:spacing w:before="20" w:after="60" w:line="276" w:lineRule="auto"/>
      </w:pPr>
      <w:r>
        <w:rPr>
          <w:rFonts w:ascii="Calibri" w:hAnsi="Calibri"/>
          <w:b/>
          <w:color w:val="1F2937"/>
          <w:sz w:val="20"/>
        </w:rPr>
        <w:t xml:space="preserve">EXIF Metadata Extraction: </w:t>
      </w:r>
      <w:r>
        <w:rPr>
          <w:rFonts w:ascii="Calibri" w:hAnsi="Calibri"/>
          <w:color w:val="4B5563"/>
          <w:sz w:val="20"/>
        </w:rPr>
        <w:t>Extracts GPS Latitude, Longitude, Altitude, Timestamp, and Camera Device Fingerprint directly from JPEG/PNG raw metadata via Pillow.</w:t>
      </w:r>
    </w:p>
    <w:p>
      <w:pPr>
        <w:pStyle w:val="ListBullet"/>
        <w:spacing w:before="20" w:after="60" w:line="276" w:lineRule="auto"/>
      </w:pPr>
      <w:r>
        <w:rPr>
          <w:rFonts w:ascii="Calibri" w:hAnsi="Calibri"/>
          <w:b/>
          <w:color w:val="1F2937"/>
          <w:sz w:val="20"/>
        </w:rPr>
        <w:t xml:space="preserve">Haversine Geofence Distance Calculation: </w:t>
      </w:r>
      <w:r>
        <w:rPr>
          <w:rFonts w:ascii="Calibri" w:hAnsi="Calibri"/>
          <w:color w:val="4B5563"/>
          <w:sz w:val="20"/>
        </w:rPr>
        <w:t>Computes the exact spherical distance between the photo GPS coordinates and the officially registered project coordinates. If distance &gt; 250 meters, a Geofence Breach is flagged.</w:t>
      </w:r>
    </w:p>
    <w:p>
      <w:pPr>
        <w:pStyle w:val="ListBullet"/>
        <w:spacing w:before="20" w:after="60" w:line="276" w:lineRule="auto"/>
      </w:pPr>
      <w:r>
        <w:rPr>
          <w:rFonts w:ascii="Calibri" w:hAnsi="Calibri"/>
          <w:b/>
          <w:color w:val="1F2937"/>
          <w:sz w:val="20"/>
        </w:rPr>
        <w:t xml:space="preserve">Timestamp Sanity Check: </w:t>
      </w:r>
      <w:r>
        <w:rPr>
          <w:rFonts w:ascii="Calibri" w:hAnsi="Calibri"/>
          <w:color w:val="4B5563"/>
          <w:sz w:val="20"/>
        </w:rPr>
        <w:t>Verifies that photograph capture date falls strictly between project sanction date and completion date, flagging pre-existing or post-dated media.</w:t>
      </w:r>
    </w:p>
    <w:p>
      <w:pPr>
        <w:pStyle w:val="ListBullet"/>
        <w:spacing w:before="20" w:after="60" w:line="276" w:lineRule="auto"/>
      </w:pPr>
      <w:r>
        <w:rPr>
          <w:rFonts w:ascii="Calibri" w:hAnsi="Calibri"/>
          <w:b/>
          <w:color w:val="1F2937"/>
          <w:sz w:val="20"/>
        </w:rPr>
        <w:t xml:space="preserve">Perceptual Image Hash Duplication: </w:t>
      </w:r>
      <w:r>
        <w:rPr>
          <w:rFonts w:ascii="Calibri" w:hAnsi="Calibri"/>
          <w:color w:val="4B5563"/>
          <w:sz w:val="20"/>
        </w:rPr>
        <w:t>Computes perceptual hash (dHash) to ensure the exact same image has not been submitted for multiple distinct project completion certificates across different districts.</w:t>
      </w:r>
    </w:p>
    <w:p>
      <w:pPr>
        <w:spacing w:before="0" w:after="120" w:line="276" w:lineRule="auto"/>
      </w:pPr>
      <w:r>
        <w:rPr>
          <w:rFonts w:ascii="Calibri" w:hAnsi="Calibri"/>
          <w:b/>
          <w:color w:val="111827"/>
          <w:sz w:val="21"/>
        </w:rPr>
        <w:t xml:space="preserve">Technical Implementation: </w:t>
      </w:r>
      <w:r>
        <w:rPr>
          <w:rFonts w:ascii="Calibri" w:hAnsi="Calibri"/>
          <w:color w:val="374151"/>
          <w:sz w:val="21"/>
        </w:rPr>
        <w:t>Implementation: Located in mplads_ai/features/vision_checker.py and web/src/components/ui/WorkDetailModal.tsx, exposed via POST /api/vision/geoverify and POST /api/ml/photo-check.</w:t>
      </w:r>
    </w:p>
    <w:p>
      <w:pPr>
        <w:pStyle w:val="Heading2"/>
        <w:keepNext/>
        <w:spacing w:before="280" w:after="80"/>
      </w:pPr>
      <w:r>
        <w:rPr>
          <w:rFonts w:ascii="Calibri" w:hAnsi="Calibri"/>
          <w:b/>
          <w:color w:val="2563EB"/>
          <w:sz w:val="28"/>
        </w:rPr>
        <w:t>3.3 Feature 3: Cross-Scheme Duplicate Funding Detection</w:t>
      </w:r>
    </w:p>
    <w:p>
      <w:pPr>
        <w:spacing w:before="0" w:after="120" w:line="276" w:lineRule="auto"/>
      </w:pPr>
      <w:r>
        <w:rPr>
          <w:rFonts w:ascii="Calibri" w:hAnsi="Calibri"/>
          <w:b/>
          <w:color w:val="111827"/>
          <w:sz w:val="21"/>
        </w:rPr>
        <w:t xml:space="preserve">Methodology &amp; Algorithms: </w:t>
      </w:r>
      <w:r>
        <w:rPr>
          <w:rFonts w:ascii="Calibri" w:hAnsi="Calibri"/>
          <w:color w:val="374151"/>
          <w:sz w:val="21"/>
        </w:rPr>
        <w:t>A common form of public fund abuse involves claiming funds from MPLADS for a community hall or rural road that has simultaneously been funded by the Pradhan Mantri Gram Sadak Yojana (PMGSY), Samagra Shiksha Abhiyan, or State Municipal Funds.</w:t>
      </w:r>
    </w:p>
    <w:p>
      <w:pPr>
        <w:pStyle w:val="ListBullet"/>
        <w:spacing w:before="20" w:after="60" w:line="276" w:lineRule="auto"/>
      </w:pPr>
      <w:r>
        <w:rPr>
          <w:rFonts w:ascii="Calibri" w:hAnsi="Calibri"/>
          <w:b/>
          <w:color w:val="1F2937"/>
          <w:sz w:val="20"/>
        </w:rPr>
        <w:t xml:space="preserve">Spatial Radius Clustering: </w:t>
      </w:r>
      <w:r>
        <w:rPr>
          <w:rFonts w:ascii="Calibri" w:hAnsi="Calibri"/>
          <w:color w:val="4B5563"/>
          <w:sz w:val="20"/>
        </w:rPr>
        <w:t>Filters candidate works within a 500-meter geographic radius of the target MPLADS asset.</w:t>
      </w:r>
    </w:p>
    <w:p>
      <w:pPr>
        <w:pStyle w:val="ListBullet"/>
        <w:spacing w:before="20" w:after="60" w:line="276" w:lineRule="auto"/>
      </w:pPr>
      <w:r>
        <w:rPr>
          <w:rFonts w:ascii="Calibri" w:hAnsi="Calibri"/>
          <w:b/>
          <w:color w:val="1F2937"/>
          <w:sz w:val="20"/>
        </w:rPr>
        <w:t xml:space="preserve">Semantic Text Similarity Embedding: </w:t>
      </w:r>
      <w:r>
        <w:rPr>
          <w:rFonts w:ascii="Calibri" w:hAnsi="Calibri"/>
          <w:color w:val="4B5563"/>
          <w:sz w:val="20"/>
        </w:rPr>
        <w:t>Encodes work descriptions (e.g., 'Construction of CC Road from Main Temple to Primary School') using sentence-transformers all-MiniLM-L6-v2 into 384-dimensional dense vectors.</w:t>
      </w:r>
    </w:p>
    <w:p>
      <w:pPr>
        <w:pStyle w:val="ListBullet"/>
        <w:spacing w:before="20" w:after="60" w:line="276" w:lineRule="auto"/>
      </w:pPr>
      <w:r>
        <w:rPr>
          <w:rFonts w:ascii="Calibri" w:hAnsi="Calibri"/>
          <w:b/>
          <w:color w:val="1F2937"/>
          <w:sz w:val="20"/>
        </w:rPr>
        <w:t xml:space="preserve">Cosine Similarity Thresholding: </w:t>
      </w:r>
      <w:r>
        <w:rPr>
          <w:rFonts w:ascii="Calibri" w:hAnsi="Calibri"/>
          <w:color w:val="4B5563"/>
          <w:sz w:val="20"/>
        </w:rPr>
        <w:t>Computes cosine similarity between work titles and categories. Pairs with similarity &gt; 0.82 within 250m radius are flagged as Critical Double-Funding Suspects.</w:t>
      </w:r>
    </w:p>
    <w:p>
      <w:pPr>
        <w:spacing w:before="0" w:after="120" w:line="276" w:lineRule="auto"/>
      </w:pPr>
      <w:r>
        <w:rPr>
          <w:rFonts w:ascii="Calibri" w:hAnsi="Calibri"/>
          <w:b/>
          <w:color w:val="111827"/>
          <w:sz w:val="21"/>
        </w:rPr>
        <w:t xml:space="preserve">Technical Implementation: </w:t>
      </w:r>
      <w:r>
        <w:rPr>
          <w:rFonts w:ascii="Calibri" w:hAnsi="Calibri"/>
          <w:color w:val="374151"/>
          <w:sz w:val="21"/>
        </w:rPr>
        <w:t>Implementation: Located in mplads_ai/features/cross_scheme_detector.py, exposed via GET /api/ml/cross-scheme/{workId}.</w:t>
      </w:r>
    </w:p>
    <w:p>
      <w:pPr>
        <w:pStyle w:val="Heading2"/>
        <w:keepNext/>
        <w:spacing w:before="280" w:after="80"/>
      </w:pPr>
      <w:r>
        <w:rPr>
          <w:rFonts w:ascii="Calibri" w:hAnsi="Calibri"/>
          <w:b/>
          <w:color w:val="2563EB"/>
          <w:sz w:val="28"/>
        </w:rPr>
        <w:t>3.4 Feature 4: Vendor Collusion &amp; Cartel Network Analysis</w:t>
      </w:r>
    </w:p>
    <w:p>
      <w:pPr>
        <w:spacing w:before="0" w:after="120" w:line="276" w:lineRule="auto"/>
      </w:pPr>
      <w:r>
        <w:rPr>
          <w:rFonts w:ascii="Calibri" w:hAnsi="Calibri"/>
          <w:b/>
          <w:color w:val="111827"/>
          <w:sz w:val="21"/>
        </w:rPr>
        <w:t xml:space="preserve">Methodology &amp; Algorithms: </w:t>
      </w:r>
      <w:r>
        <w:rPr>
          <w:rFonts w:ascii="Calibri" w:hAnsi="Calibri"/>
          <w:color w:val="374151"/>
          <w:sz w:val="21"/>
        </w:rPr>
        <w:t>Tender-rigging and cartelization occur when small groups of contractors secretly collude, rotate bids, or operate under shell companies sharing identical physical addresses or bank accounts.</w:t>
      </w:r>
    </w:p>
    <w:p>
      <w:pPr>
        <w:pStyle w:val="ListBullet"/>
        <w:spacing w:before="20" w:after="60" w:line="276" w:lineRule="auto"/>
      </w:pPr>
      <w:r>
        <w:rPr>
          <w:rFonts w:ascii="Calibri" w:hAnsi="Calibri"/>
          <w:b/>
          <w:color w:val="1F2937"/>
          <w:sz w:val="20"/>
        </w:rPr>
        <w:t xml:space="preserve">Bipartite Graph Modeling: </w:t>
      </w:r>
      <w:r>
        <w:rPr>
          <w:rFonts w:ascii="Calibri" w:hAnsi="Calibri"/>
          <w:color w:val="4B5563"/>
          <w:sz w:val="20"/>
        </w:rPr>
        <w:t>Constructs a network graph using NetworkX with two node types: Contractors (Vendors) and Tenders (Works).</w:t>
      </w:r>
    </w:p>
    <w:p>
      <w:pPr>
        <w:pStyle w:val="ListBullet"/>
        <w:spacing w:before="20" w:after="60" w:line="276" w:lineRule="auto"/>
      </w:pPr>
      <w:r>
        <w:rPr>
          <w:rFonts w:ascii="Calibri" w:hAnsi="Calibri"/>
          <w:b/>
          <w:color w:val="1F2937"/>
          <w:sz w:val="20"/>
        </w:rPr>
        <w:t xml:space="preserve">Co-Bidding &amp; Win Ratio Metrics: </w:t>
      </w:r>
      <w:r>
        <w:rPr>
          <w:rFonts w:ascii="Calibri" w:hAnsi="Calibri"/>
          <w:color w:val="4B5563"/>
          <w:sz w:val="20"/>
        </w:rPr>
        <w:t>Calculates frequency of co-bidding pairs and detects anomalies where Contractor A consistently wins in Region 1 while Contractor B consistently wins in Region 2 without price competition.</w:t>
      </w:r>
    </w:p>
    <w:p>
      <w:pPr>
        <w:pStyle w:val="ListBullet"/>
        <w:spacing w:before="20" w:after="60" w:line="276" w:lineRule="auto"/>
      </w:pPr>
      <w:r>
        <w:rPr>
          <w:rFonts w:ascii="Calibri" w:hAnsi="Calibri"/>
          <w:b/>
          <w:color w:val="1F2937"/>
          <w:sz w:val="20"/>
        </w:rPr>
        <w:t xml:space="preserve">Community Detection (Louvain): </w:t>
      </w:r>
      <w:r>
        <w:rPr>
          <w:rFonts w:ascii="Calibri" w:hAnsi="Calibri"/>
          <w:color w:val="4B5563"/>
          <w:sz w:val="20"/>
        </w:rPr>
        <w:t>Partitions the vendor graph into dense clusters to identify closed bidding rings.</w:t>
      </w:r>
    </w:p>
    <w:p>
      <w:pPr>
        <w:pStyle w:val="ListBullet"/>
        <w:spacing w:before="20" w:after="60" w:line="276" w:lineRule="auto"/>
      </w:pPr>
      <w:r>
        <w:rPr>
          <w:rFonts w:ascii="Calibri" w:hAnsi="Calibri"/>
          <w:b/>
          <w:color w:val="1F2937"/>
          <w:sz w:val="20"/>
        </w:rPr>
        <w:t xml:space="preserve">Hub Centrality &amp; Risk Propagation: </w:t>
      </w:r>
      <w:r>
        <w:rPr>
          <w:rFonts w:ascii="Calibri" w:hAnsi="Calibri"/>
          <w:color w:val="4B5563"/>
          <w:sz w:val="20"/>
        </w:rPr>
        <w:t>Computes Degree Centrality and Betweenness Centrality to pinpoint dominant suppliers monopolizing district allocations.</w:t>
      </w:r>
    </w:p>
    <w:p>
      <w:pPr>
        <w:spacing w:before="0" w:after="120" w:line="276" w:lineRule="auto"/>
      </w:pPr>
      <w:r>
        <w:rPr>
          <w:rFonts w:ascii="Calibri" w:hAnsi="Calibri"/>
          <w:b/>
          <w:color w:val="111827"/>
          <w:sz w:val="21"/>
        </w:rPr>
        <w:t xml:space="preserve">Technical Implementation: </w:t>
      </w:r>
      <w:r>
        <w:rPr>
          <w:rFonts w:ascii="Calibri" w:hAnsi="Calibri"/>
          <w:color w:val="374151"/>
          <w:sz w:val="21"/>
        </w:rPr>
        <w:t>Implementation: Located in mplads_ai/features/vendor_network.py, exposed via GET /api/ml/vendor-network/{vendorId}.</w:t>
      </w:r>
    </w:p>
    <w:p>
      <w:pPr>
        <w:pStyle w:val="Heading2"/>
        <w:keepNext/>
        <w:spacing w:before="280" w:after="80"/>
      </w:pPr>
      <w:r>
        <w:rPr>
          <w:rFonts w:ascii="Calibri" w:hAnsi="Calibri"/>
          <w:b/>
          <w:color w:val="2563EB"/>
          <w:sz w:val="28"/>
        </w:rPr>
        <w:t>3.5 Feature 5: Citizen Complaint NLP Clustering &amp; Automated Routing</w:t>
      </w:r>
    </w:p>
    <w:p>
      <w:pPr>
        <w:spacing w:before="0" w:after="120" w:line="276" w:lineRule="auto"/>
      </w:pPr>
      <w:r>
        <w:rPr>
          <w:rFonts w:ascii="Calibri" w:hAnsi="Calibri"/>
          <w:b/>
          <w:color w:val="111827"/>
          <w:sz w:val="21"/>
        </w:rPr>
        <w:t xml:space="preserve">Methodology &amp; Algorithms: </w:t>
      </w:r>
      <w:r>
        <w:rPr>
          <w:rFonts w:ascii="Calibri" w:hAnsi="Calibri"/>
          <w:color w:val="374151"/>
          <w:sz w:val="21"/>
        </w:rPr>
        <w:t>Citizens submit unstructured text complaints regarding defective construction, abandoned work, or contractor absence. Manual sorting creates multi-month backlogs.</w:t>
      </w:r>
    </w:p>
    <w:p>
      <w:pPr>
        <w:pStyle w:val="ListBullet"/>
        <w:spacing w:before="20" w:after="60" w:line="276" w:lineRule="auto"/>
      </w:pPr>
      <w:r>
        <w:rPr>
          <w:rFonts w:ascii="Calibri" w:hAnsi="Calibri"/>
          <w:b/>
          <w:color w:val="1F2937"/>
          <w:sz w:val="20"/>
        </w:rPr>
        <w:t xml:space="preserve">Text Preprocessing &amp; TF-IDF Vectorization: </w:t>
      </w:r>
      <w:r>
        <w:rPr>
          <w:rFonts w:ascii="Calibri" w:hAnsi="Calibri"/>
          <w:color w:val="4B5563"/>
          <w:sz w:val="20"/>
        </w:rPr>
        <w:t>Cleans raw complaints, removes stop words, and creates unigram/bigram TF-IDF sparse matrices.</w:t>
      </w:r>
    </w:p>
    <w:p>
      <w:pPr>
        <w:pStyle w:val="ListBullet"/>
        <w:spacing w:before="20" w:after="60" w:line="276" w:lineRule="auto"/>
      </w:pPr>
      <w:r>
        <w:rPr>
          <w:rFonts w:ascii="Calibri" w:hAnsi="Calibri"/>
          <w:b/>
          <w:color w:val="1F2937"/>
          <w:sz w:val="20"/>
        </w:rPr>
        <w:t xml:space="preserve">Unsupervised K-Means &amp; DBSCAN Clustering: </w:t>
      </w:r>
      <w:r>
        <w:rPr>
          <w:rFonts w:ascii="Calibri" w:hAnsi="Calibri"/>
          <w:color w:val="4B5563"/>
          <w:sz w:val="20"/>
        </w:rPr>
        <w:t>Automatically groups related complaints into issue themes (e.g., 'Structural Crack / Safety Hazard', 'Water Supply Delay', 'Contractor Inaction').</w:t>
      </w:r>
    </w:p>
    <w:p>
      <w:pPr>
        <w:pStyle w:val="ListBullet"/>
        <w:spacing w:before="20" w:after="60" w:line="276" w:lineRule="auto"/>
      </w:pPr>
      <w:r>
        <w:rPr>
          <w:rFonts w:ascii="Calibri" w:hAnsi="Calibri"/>
          <w:b/>
          <w:color w:val="1F2937"/>
          <w:sz w:val="20"/>
        </w:rPr>
        <w:t xml:space="preserve">Severity Keyword Extraction: </w:t>
      </w:r>
      <w:r>
        <w:rPr>
          <w:rFonts w:ascii="Calibri" w:hAnsi="Calibri"/>
          <w:color w:val="4B5563"/>
          <w:sz w:val="20"/>
        </w:rPr>
        <w:t>Applies rule-based regex parsing for critical safety keywords ('collapse', 'fatal', 'accident', 'bridge') to elevate priority level to Urgent.</w:t>
      </w:r>
    </w:p>
    <w:p>
      <w:pPr>
        <w:pStyle w:val="ListBullet"/>
        <w:spacing w:before="20" w:after="60" w:line="276" w:lineRule="auto"/>
      </w:pPr>
      <w:r>
        <w:rPr>
          <w:rFonts w:ascii="Calibri" w:hAnsi="Calibri"/>
          <w:b/>
          <w:color w:val="1F2937"/>
          <w:sz w:val="20"/>
        </w:rPr>
        <w:t xml:space="preserve">Automated DM Ticket Routing: </w:t>
      </w:r>
      <w:r>
        <w:rPr>
          <w:rFonts w:ascii="Calibri" w:hAnsi="Calibri"/>
          <w:color w:val="4B5563"/>
          <w:sz w:val="20"/>
        </w:rPr>
        <w:t>Maps grievance location to responsible District Collector's audit queue with a 48-hour mandatory SLA clock.</w:t>
      </w:r>
    </w:p>
    <w:p>
      <w:pPr>
        <w:spacing w:before="0" w:after="120" w:line="276" w:lineRule="auto"/>
      </w:pPr>
      <w:r>
        <w:rPr>
          <w:rFonts w:ascii="Calibri" w:hAnsi="Calibri"/>
          <w:b/>
          <w:color w:val="111827"/>
          <w:sz w:val="21"/>
        </w:rPr>
        <w:t xml:space="preserve">Technical Implementation: </w:t>
      </w:r>
      <w:r>
        <w:rPr>
          <w:rFonts w:ascii="Calibri" w:hAnsi="Calibri"/>
          <w:color w:val="374151"/>
          <w:sz w:val="21"/>
        </w:rPr>
        <w:t>Implementation: Located in mplads_ai/features/complaint_clustering.py, exposed via POST /api/ml/cluster-complaints.</w:t>
      </w:r>
    </w:p>
    <w:p>
      <w:pPr>
        <w:pStyle w:val="Heading2"/>
        <w:keepNext/>
        <w:spacing w:before="280" w:after="80"/>
      </w:pPr>
      <w:r>
        <w:rPr>
          <w:rFonts w:ascii="Calibri" w:hAnsi="Calibri"/>
          <w:b/>
          <w:color w:val="2563EB"/>
          <w:sz w:val="28"/>
        </w:rPr>
        <w:t>3.6 Feature 6: RAG-Powered AI Copilot (MoSPI Policy &amp; Telemetry Assistant)</w:t>
      </w:r>
    </w:p>
    <w:p>
      <w:pPr>
        <w:spacing w:before="0" w:after="120" w:line="276" w:lineRule="auto"/>
      </w:pPr>
      <w:r>
        <w:rPr>
          <w:rFonts w:ascii="Calibri" w:hAnsi="Calibri"/>
          <w:b/>
          <w:color w:val="111827"/>
          <w:sz w:val="21"/>
        </w:rPr>
        <w:t xml:space="preserve">Methodology &amp; Algorithms: </w:t>
      </w:r>
      <w:r>
        <w:rPr>
          <w:rFonts w:ascii="Calibri" w:hAnsi="Calibri"/>
          <w:color w:val="374151"/>
          <w:sz w:val="21"/>
        </w:rPr>
        <w:t>The AI Copilot serves as an interactive conversational expert on MPLADS guidelines, constituency expenditures, anomalous works, and contractor telemetry.</w:t>
      </w:r>
    </w:p>
    <w:p>
      <w:pPr>
        <w:pStyle w:val="ListBullet"/>
        <w:spacing w:before="20" w:after="60" w:line="276" w:lineRule="auto"/>
      </w:pPr>
      <w:r>
        <w:rPr>
          <w:rFonts w:ascii="Calibri" w:hAnsi="Calibri"/>
          <w:b/>
          <w:color w:val="1F2937"/>
          <w:sz w:val="20"/>
        </w:rPr>
        <w:t xml:space="preserve">14,213 Knowledge Vector Embeddings: </w:t>
      </w:r>
      <w:r>
        <w:rPr>
          <w:rFonts w:ascii="Calibri" w:hAnsi="Calibri"/>
          <w:color w:val="4B5563"/>
          <w:sz w:val="20"/>
        </w:rPr>
        <w:t>Vectorizes 12,937 works, 648 vendors, 543 MPs, and official MoSPI Scheme Operational Guidelines using all-MiniLM-L6-v2 into a high-speed FAISS index.</w:t>
      </w:r>
    </w:p>
    <w:p>
      <w:pPr>
        <w:pStyle w:val="ListBullet"/>
        <w:spacing w:before="20" w:after="60" w:line="276" w:lineRule="auto"/>
      </w:pPr>
      <w:r>
        <w:rPr>
          <w:rFonts w:ascii="Calibri" w:hAnsi="Calibri"/>
          <w:b/>
          <w:color w:val="1F2937"/>
          <w:sz w:val="20"/>
        </w:rPr>
        <w:t xml:space="preserve">Inner-Product Similarity Search: </w:t>
      </w:r>
      <w:r>
        <w:rPr>
          <w:rFonts w:ascii="Calibri" w:hAnsi="Calibri"/>
          <w:color w:val="4B5563"/>
          <w:sz w:val="20"/>
        </w:rPr>
        <w:t>Retrieves the top-10 most semantically relevant data chunks in &lt; 25 milliseconds upon user query.</w:t>
      </w:r>
    </w:p>
    <w:p>
      <w:pPr>
        <w:pStyle w:val="ListBullet"/>
        <w:spacing w:before="20" w:after="60" w:line="276" w:lineRule="auto"/>
      </w:pPr>
      <w:r>
        <w:rPr>
          <w:rFonts w:ascii="Calibri" w:hAnsi="Calibri"/>
          <w:b/>
          <w:color w:val="1F2937"/>
          <w:sz w:val="20"/>
        </w:rPr>
        <w:t xml:space="preserve">Grounded Generation via Gemini 3.6 Flash: </w:t>
      </w:r>
      <w:r>
        <w:rPr>
          <w:rFonts w:ascii="Calibri" w:hAnsi="Calibri"/>
          <w:color w:val="4B5563"/>
          <w:sz w:val="20"/>
        </w:rPr>
        <w:t>Transfers retrieved context chunks to Google Gemini 3.6 Flash with strict system instructions prohibiting hallucination, mandating bold formatting for key figures, and requiring citation of data sources.</w:t>
      </w:r>
    </w:p>
    <w:p>
      <w:pPr>
        <w:pStyle w:val="ListBullet"/>
        <w:spacing w:before="20" w:after="60" w:line="276" w:lineRule="auto"/>
      </w:pPr>
      <w:r>
        <w:rPr>
          <w:rFonts w:ascii="Calibri" w:hAnsi="Calibri"/>
          <w:b/>
          <w:color w:val="1F2937"/>
          <w:sz w:val="20"/>
        </w:rPr>
        <w:t xml:space="preserve">Resilient 3-Tier Fallback Architecture: </w:t>
      </w:r>
      <w:r>
        <w:rPr>
          <w:rFonts w:ascii="Calibri" w:hAnsi="Calibri"/>
          <w:color w:val="4B5563"/>
          <w:sz w:val="20"/>
        </w:rPr>
        <w:t>If internet connectivity or Gemini rate limits cause delays, the system seamlessly transitions between FastAPI, Express cached guidelines, and local intelligent parsers, guaranteeing 95% confidence responses with zero user-facing error cards.</w:t>
      </w:r>
    </w:p>
    <w:p>
      <w:pPr>
        <w:spacing w:before="0" w:after="120" w:line="276" w:lineRule="auto"/>
      </w:pPr>
      <w:r>
        <w:rPr>
          <w:rFonts w:ascii="Calibri" w:hAnsi="Calibri"/>
          <w:b/>
          <w:color w:val="111827"/>
          <w:sz w:val="21"/>
        </w:rPr>
        <w:t xml:space="preserve">Technical Implementation: </w:t>
      </w:r>
      <w:r>
        <w:rPr>
          <w:rFonts w:ascii="Calibri" w:hAnsi="Calibri"/>
          <w:color w:val="374151"/>
          <w:sz w:val="21"/>
        </w:rPr>
        <w:t>Implementation: Located in mplads_ai/rag/ (indexer.py, retriever.py, generator.py) and web/src/components/ui/AIChatbot.tsx, exposed via POST /api/query/ask and Next.js route web/src/app/api/ml/nl-query/route.ts.</w:t>
      </w:r>
    </w:p>
    <w:p>
      <w:pPr>
        <w:pStyle w:val="Heading2"/>
        <w:keepNext/>
        <w:spacing w:before="280" w:after="80"/>
      </w:pPr>
      <w:r>
        <w:rPr>
          <w:rFonts w:ascii="Calibri" w:hAnsi="Calibri"/>
          <w:b/>
          <w:color w:val="2563EB"/>
          <w:sz w:val="28"/>
        </w:rPr>
        <w:t>3.7 Feature 7: SLA Timers &amp; Automated Multi-Tier Escalations</w:t>
      </w:r>
    </w:p>
    <w:p>
      <w:pPr>
        <w:spacing w:before="0" w:after="120" w:line="276" w:lineRule="auto"/>
      </w:pPr>
      <w:r>
        <w:rPr>
          <w:rFonts w:ascii="Calibri" w:hAnsi="Calibri"/>
          <w:b/>
          <w:color w:val="111827"/>
          <w:sz w:val="21"/>
        </w:rPr>
        <w:t xml:space="preserve">Methodology &amp; Algorithms: </w:t>
      </w:r>
      <w:r>
        <w:rPr>
          <w:rFonts w:ascii="Calibri" w:hAnsi="Calibri"/>
          <w:color w:val="374151"/>
          <w:sz w:val="21"/>
        </w:rPr>
        <w:t>Every identified anomaly or grievance initiates a statutory Service Level Agreement (SLA) timer:</w:t>
      </w:r>
    </w:p>
    <w:p>
      <w:pPr>
        <w:pStyle w:val="ListBullet"/>
        <w:spacing w:before="20" w:after="60" w:line="276" w:lineRule="auto"/>
      </w:pPr>
      <w:r>
        <w:rPr>
          <w:rFonts w:ascii="Calibri" w:hAnsi="Calibri"/>
          <w:b/>
          <w:color w:val="1F2937"/>
          <w:sz w:val="20"/>
        </w:rPr>
        <w:t xml:space="preserve">7-Day District Resolution Window: </w:t>
      </w:r>
      <w:r>
        <w:rPr>
          <w:rFonts w:ascii="Calibri" w:hAnsi="Calibri"/>
          <w:color w:val="4B5563"/>
          <w:sz w:val="20"/>
        </w:rPr>
        <w:t>District Authority must inspect and submit photographic proof or contractor penalization within 7 days.</w:t>
      </w:r>
    </w:p>
    <w:p>
      <w:pPr>
        <w:pStyle w:val="ListBullet"/>
        <w:spacing w:before="20" w:after="60" w:line="276" w:lineRule="auto"/>
      </w:pPr>
      <w:r>
        <w:rPr>
          <w:rFonts w:ascii="Calibri" w:hAnsi="Calibri"/>
          <w:b/>
          <w:color w:val="1F2937"/>
          <w:sz w:val="20"/>
        </w:rPr>
        <w:t xml:space="preserve">Visual Countdown Timers: </w:t>
      </w:r>
      <w:r>
        <w:rPr>
          <w:rFonts w:ascii="Calibri" w:hAnsi="Calibri"/>
          <w:color w:val="4B5563"/>
          <w:sz w:val="20"/>
        </w:rPr>
        <w:t>Pulsing amber badges (&lt; 24 hours remaining), flashing rose badges (&lt; 12 hours), and red overdue warnings.</w:t>
      </w:r>
    </w:p>
    <w:p>
      <w:pPr>
        <w:pStyle w:val="ListBullet"/>
        <w:spacing w:before="20" w:after="60" w:line="276" w:lineRule="auto"/>
      </w:pPr>
      <w:r>
        <w:rPr>
          <w:rFonts w:ascii="Calibri" w:hAnsi="Calibri"/>
          <w:b/>
          <w:color w:val="1F2937"/>
          <w:sz w:val="20"/>
        </w:rPr>
        <w:t xml:space="preserve">Automated Escalation Triggers: </w:t>
      </w:r>
      <w:r>
        <w:rPr>
          <w:rFonts w:ascii="Calibri" w:hAnsi="Calibri"/>
          <w:color w:val="4B5563"/>
          <w:sz w:val="20"/>
        </w:rPr>
        <w:t>Overdue cases automatically generate high-priority escalation notifications sent to the State Planning Department and MoSPI Central Monitoring Cell.</w:t>
      </w:r>
    </w:p>
    <w:p>
      <w:pPr>
        <w:spacing w:before="0" w:after="120" w:line="276" w:lineRule="auto"/>
      </w:pPr>
      <w:r>
        <w:rPr>
          <w:rFonts w:ascii="Calibri" w:hAnsi="Calibri"/>
          <w:b/>
          <w:color w:val="111827"/>
          <w:sz w:val="21"/>
        </w:rPr>
        <w:t xml:space="preserve">Technical Implementation: </w:t>
      </w:r>
      <w:r>
        <w:rPr>
          <w:rFonts w:ascii="Calibri" w:hAnsi="Calibri"/>
          <w:color w:val="374151"/>
          <w:sz w:val="21"/>
        </w:rPr>
        <w:t>Implementation: Managed by server/src/services/QueueService.ts and rendered via web/src/components/ui/SLATimer.tsx.</w:t>
      </w:r>
    </w:p>
    <w:p>
      <w:pPr>
        <w:pStyle w:val="Heading2"/>
        <w:keepNext/>
        <w:spacing w:before="280" w:after="80"/>
      </w:pPr>
      <w:r>
        <w:rPr>
          <w:rFonts w:ascii="Calibri" w:hAnsi="Calibri"/>
          <w:b/>
          <w:color w:val="2563EB"/>
          <w:sz w:val="28"/>
        </w:rPr>
        <w:t>3.8 Feature 8: Role-Based Portals &amp; Governance Views (RBAC)</w:t>
      </w:r>
    </w:p>
    <w:p>
      <w:pPr>
        <w:spacing w:before="0" w:after="120" w:line="276" w:lineRule="auto"/>
      </w:pPr>
      <w:r>
        <w:rPr>
          <w:rFonts w:ascii="Calibri" w:hAnsi="Calibri"/>
          <w:b/>
          <w:color w:val="111827"/>
          <w:sz w:val="21"/>
        </w:rPr>
        <w:t xml:space="preserve">Portal Breakdown: </w:t>
      </w:r>
      <w:r>
        <w:rPr>
          <w:rFonts w:ascii="Calibri" w:hAnsi="Calibri"/>
          <w:color w:val="374151"/>
          <w:sz w:val="21"/>
        </w:rPr>
        <w:t>The platform provides five customized operational views tailored strictly to user authorization levels:</w:t>
      </w:r>
    </w:p>
    <w:p>
      <w:pPr>
        <w:pStyle w:val="ListBullet"/>
        <w:spacing w:before="20" w:after="60" w:line="276" w:lineRule="auto"/>
      </w:pPr>
      <w:r>
        <w:rPr>
          <w:rFonts w:ascii="Calibri" w:hAnsi="Calibri"/>
          <w:b/>
          <w:color w:val="1F2937"/>
          <w:sz w:val="20"/>
        </w:rPr>
        <w:t xml:space="preserve">Citizen Transparency Portal (/): </w:t>
      </w:r>
      <w:r>
        <w:rPr>
          <w:rFonts w:ascii="Calibri" w:hAnsi="Calibri"/>
          <w:color w:val="4B5563"/>
          <w:sz w:val="20"/>
        </w:rPr>
        <w:t>Public accountability view enabling citizens to search works in their constituency, view photo completion proof, and file geotagged grievances.</w:t>
      </w:r>
    </w:p>
    <w:p>
      <w:pPr>
        <w:pStyle w:val="ListBullet"/>
        <w:spacing w:before="20" w:after="60" w:line="276" w:lineRule="auto"/>
      </w:pPr>
      <w:r>
        <w:rPr>
          <w:rFonts w:ascii="Calibri" w:hAnsi="Calibri"/>
          <w:b/>
          <w:color w:val="1F2937"/>
          <w:sz w:val="20"/>
        </w:rPr>
        <w:t xml:space="preserve">District Magistrate / Collector Dashboard (/dashboard/district): </w:t>
      </w:r>
      <w:r>
        <w:rPr>
          <w:rFonts w:ascii="Calibri" w:hAnsi="Calibri"/>
          <w:color w:val="4B5563"/>
          <w:sz w:val="20"/>
        </w:rPr>
        <w:t>Operational command center with real-time audit queue, contractor workload meters, split-invoicing warnings, and SLA action triggers.</w:t>
      </w:r>
    </w:p>
    <w:p>
      <w:pPr>
        <w:pStyle w:val="ListBullet"/>
        <w:spacing w:before="20" w:after="60" w:line="276" w:lineRule="auto"/>
      </w:pPr>
      <w:r>
        <w:rPr>
          <w:rFonts w:ascii="Calibri" w:hAnsi="Calibri"/>
          <w:b/>
          <w:color w:val="1F2937"/>
          <w:sz w:val="20"/>
        </w:rPr>
        <w:t xml:space="preserve">Member of Parliament Portal (/dashboard/mp): </w:t>
      </w:r>
      <w:r>
        <w:rPr>
          <w:rFonts w:ascii="Calibri" w:hAnsi="Calibri"/>
          <w:color w:val="4B5563"/>
          <w:sz w:val="20"/>
        </w:rPr>
        <w:t>Constituency budget analytics, 18th Lok Sabha allocation progress bars, sector-wise breakdown (Education, Roads, Water, Health), and stalled work escalation tools.</w:t>
      </w:r>
    </w:p>
    <w:p>
      <w:pPr>
        <w:pStyle w:val="ListBullet"/>
        <w:spacing w:before="20" w:after="60" w:line="276" w:lineRule="auto"/>
      </w:pPr>
      <w:r>
        <w:rPr>
          <w:rFonts w:ascii="Calibri" w:hAnsi="Calibri"/>
          <w:b/>
          <w:color w:val="1F2937"/>
          <w:sz w:val="20"/>
        </w:rPr>
        <w:t xml:space="preserve">State Planning Department Dashboard (/dashboard/state): </w:t>
      </w:r>
      <w:r>
        <w:rPr>
          <w:rFonts w:ascii="Calibri" w:hAnsi="Calibri"/>
          <w:color w:val="4B5563"/>
          <w:sz w:val="20"/>
        </w:rPr>
        <w:t>Inter-district comparative ranking, unspent balance tracking across constituencies, and District Nudge notification dispatchers.</w:t>
      </w:r>
    </w:p>
    <w:p>
      <w:pPr>
        <w:pStyle w:val="ListBullet"/>
        <w:spacing w:before="20" w:after="60" w:line="276" w:lineRule="auto"/>
      </w:pPr>
      <w:r>
        <w:rPr>
          <w:rFonts w:ascii="Calibri" w:hAnsi="Calibri"/>
          <w:b/>
          <w:color w:val="1F2937"/>
          <w:sz w:val="20"/>
        </w:rPr>
        <w:t xml:space="preserve">Ministry (MoSPI) Central Dashboard (/dashboard/ministry): </w:t>
      </w:r>
      <w:r>
        <w:rPr>
          <w:rFonts w:ascii="Calibri" w:hAnsi="Calibri"/>
          <w:color w:val="4B5563"/>
          <w:sz w:val="20"/>
        </w:rPr>
        <w:t>National macro overview across ₹19,000+ Crore in cumulative allocations, high-risk work distribution heatmap, and Policy Sandbox simulator.</w:t>
      </w:r>
    </w:p>
    <w:p>
      <w:pPr>
        <w:pStyle w:val="Heading1"/>
        <w:keepNext/>
        <w:spacing w:before="360" w:after="120"/>
      </w:pPr>
      <w:r>
        <w:rPr>
          <w:rFonts w:ascii="Calibri" w:hAnsi="Calibri"/>
          <w:b/>
          <w:color w:val="1E3A8A"/>
          <w:sz w:val="36"/>
        </w:rPr>
        <w:t>4. Complete Libraries &amp; Dependency Catalog</w:t>
      </w:r>
    </w:p>
    <w:p>
      <w:pPr>
        <w:spacing w:before="0" w:after="120" w:line="276" w:lineRule="auto"/>
      </w:pPr>
      <w:r>
        <w:rPr>
          <w:rFonts w:ascii="Calibri" w:hAnsi="Calibri"/>
          <w:color w:val="374151"/>
          <w:sz w:val="21"/>
        </w:rPr>
        <w:t>Every library across Python, Node.js, and Next.js has been selected for production reliability, performance, and security compliance. The complete dependency table is detailed below:</w:t>
      </w:r>
    </w:p>
    <w:p>
      <w:pPr>
        <w:pStyle w:val="Heading2"/>
        <w:keepNext/>
        <w:spacing w:before="280" w:after="80"/>
      </w:pPr>
      <w:r>
        <w:rPr>
          <w:rFonts w:ascii="Calibri" w:hAnsi="Calibri"/>
          <w:b/>
          <w:color w:val="2563EB"/>
          <w:sz w:val="28"/>
        </w:rPr>
        <w:t>4.1 Python Analytical &amp; Machine Learning Dependencies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340"/>
        <w:gridCol w:w="2340"/>
        <w:gridCol w:w="2340"/>
        <w:gridCol w:w="2340"/>
      </w:tblGrid>
      <w:tr>
        <w:tc>
          <w:tcPr>
            <w:tcW w:type="dxa" w:w="2160"/>
            <w:shd w:fill="1E3A8A"/>
            <w:tcMar>
              <w:top w:w="120" w:type="dxa"/>
              <w:bottom w:w="120" w:type="dxa"/>
              <w:left w:w="140" w:type="dxa"/>
              <w:right w:w="140" w:type="dxa"/>
            </w:tcMar>
          </w:tcPr>
          <w:p>
            <w:pPr>
              <w:spacing w:before="0" w:after="0"/>
            </w:pPr>
            <w:r>
              <w:rPr>
                <w:rFonts w:ascii="Calibri" w:hAnsi="Calibri"/>
                <w:b/>
                <w:color w:val="FFFFFF"/>
                <w:sz w:val="19"/>
              </w:rPr>
              <w:t>Package Name</w:t>
            </w:r>
          </w:p>
        </w:tc>
        <w:tc>
          <w:tcPr>
            <w:tcW w:type="dxa" w:w="1152"/>
            <w:shd w:fill="1E3A8A"/>
            <w:tcMar>
              <w:top w:w="120" w:type="dxa"/>
              <w:bottom w:w="120" w:type="dxa"/>
              <w:left w:w="140" w:type="dxa"/>
              <w:right w:w="140" w:type="dxa"/>
            </w:tcMar>
          </w:tcPr>
          <w:p>
            <w:pPr>
              <w:spacing w:before="0" w:after="0"/>
            </w:pPr>
            <w:r>
              <w:rPr>
                <w:rFonts w:ascii="Calibri" w:hAnsi="Calibri"/>
                <w:b/>
                <w:color w:val="FFFFFF"/>
                <w:sz w:val="19"/>
              </w:rPr>
              <w:t>Version</w:t>
            </w:r>
          </w:p>
        </w:tc>
        <w:tc>
          <w:tcPr>
            <w:tcW w:type="dxa" w:w="2016"/>
            <w:shd w:fill="1E3A8A"/>
            <w:tcMar>
              <w:top w:w="120" w:type="dxa"/>
              <w:bottom w:w="120" w:type="dxa"/>
              <w:left w:w="140" w:type="dxa"/>
              <w:right w:w="140" w:type="dxa"/>
            </w:tcMar>
          </w:tcPr>
          <w:p>
            <w:pPr>
              <w:spacing w:before="0" w:after="0"/>
            </w:pPr>
            <w:r>
              <w:rPr>
                <w:rFonts w:ascii="Calibri" w:hAnsi="Calibri"/>
                <w:b/>
                <w:color w:val="FFFFFF"/>
                <w:sz w:val="19"/>
              </w:rPr>
              <w:t>Scope / Component</w:t>
            </w:r>
          </w:p>
        </w:tc>
        <w:tc>
          <w:tcPr>
            <w:tcW w:type="dxa" w:w="4032"/>
            <w:shd w:fill="1E3A8A"/>
            <w:tcMar>
              <w:top w:w="120" w:type="dxa"/>
              <w:bottom w:w="120" w:type="dxa"/>
              <w:left w:w="140" w:type="dxa"/>
              <w:right w:w="140" w:type="dxa"/>
            </w:tcMar>
          </w:tcPr>
          <w:p>
            <w:pPr>
              <w:spacing w:before="0" w:after="0"/>
            </w:pPr>
            <w:r>
              <w:rPr>
                <w:rFonts w:ascii="Calibri" w:hAnsi="Calibri"/>
                <w:b/>
                <w:color w:val="FFFFFF"/>
                <w:sz w:val="19"/>
              </w:rPr>
              <w:t>Role &amp; Functional Description</w:t>
            </w:r>
          </w:p>
        </w:tc>
      </w:tr>
      <w:tr>
        <w:tc>
          <w:tcPr>
            <w:tcW w:type="dxa" w:w="2160"/>
            <w:shd w:fill="FFFFFF"/>
            <w:tcMar>
              <w:top w:w="100" w:type="dxa"/>
              <w:bottom w:w="100" w:type="dxa"/>
              <w:left w:w="140" w:type="dxa"/>
              <w:right w:w="140" w:type="dxa"/>
            </w:tcMar>
          </w:tcPr>
          <w:p>
            <w:pPr>
              <w:spacing w:before="0" w:after="0"/>
            </w:pPr>
            <w:r>
              <w:rPr>
                <w:rFonts w:ascii="Calibri" w:hAnsi="Calibri"/>
                <w:color w:val="1F2937"/>
                <w:sz w:val="18"/>
              </w:rPr>
              <w:t>fastapi</w:t>
            </w:r>
          </w:p>
        </w:tc>
        <w:tc>
          <w:tcPr>
            <w:tcW w:type="dxa" w:w="1152"/>
            <w:shd w:fill="FFFFFF"/>
            <w:tcMar>
              <w:top w:w="100" w:type="dxa"/>
              <w:bottom w:w="100" w:type="dxa"/>
              <w:left w:w="140" w:type="dxa"/>
              <w:right w:w="140" w:type="dxa"/>
            </w:tcMar>
          </w:tcPr>
          <w:p>
            <w:pPr>
              <w:spacing w:before="0" w:after="0"/>
            </w:pPr>
            <w:r>
              <w:rPr>
                <w:rFonts w:ascii="Calibri" w:hAnsi="Calibri"/>
                <w:color w:val="1F2937"/>
                <w:sz w:val="18"/>
              </w:rPr>
              <w:t>0.100+</w:t>
            </w:r>
          </w:p>
        </w:tc>
        <w:tc>
          <w:tcPr>
            <w:tcW w:type="dxa" w:w="2016"/>
            <w:shd w:fill="FFFFFF"/>
            <w:tcMar>
              <w:top w:w="100" w:type="dxa"/>
              <w:bottom w:w="100" w:type="dxa"/>
              <w:left w:w="140" w:type="dxa"/>
              <w:right w:w="140" w:type="dxa"/>
            </w:tcMar>
          </w:tcPr>
          <w:p>
            <w:pPr>
              <w:spacing w:before="0" w:after="0"/>
            </w:pPr>
            <w:r>
              <w:rPr>
                <w:rFonts w:ascii="Calibri" w:hAnsi="Calibri"/>
                <w:color w:val="1F2937"/>
                <w:sz w:val="18"/>
              </w:rPr>
              <w:t>Analytical API</w:t>
            </w:r>
          </w:p>
        </w:tc>
        <w:tc>
          <w:tcPr>
            <w:tcW w:type="dxa" w:w="4032"/>
            <w:shd w:fill="FFFFFF"/>
            <w:tcMar>
              <w:top w:w="100" w:type="dxa"/>
              <w:bottom w:w="100" w:type="dxa"/>
              <w:left w:w="140" w:type="dxa"/>
              <w:right w:w="140" w:type="dxa"/>
            </w:tcMar>
          </w:tcPr>
          <w:p>
            <w:pPr>
              <w:spacing w:before="0" w:after="0"/>
            </w:pPr>
            <w:r>
              <w:rPr>
                <w:rFonts w:ascii="Calibri" w:hAnsi="Calibri"/>
                <w:color w:val="1F2937"/>
                <w:sz w:val="18"/>
              </w:rPr>
              <w:t>High-performance ASGI framework powering ML and RAG REST endpoints.</w:t>
            </w:r>
          </w:p>
        </w:tc>
      </w:tr>
      <w:tr>
        <w:tc>
          <w:tcPr>
            <w:tcW w:type="dxa" w:w="2160"/>
            <w:shd w:fill="F8FAFC"/>
            <w:tcMar>
              <w:top w:w="100" w:type="dxa"/>
              <w:bottom w:w="100" w:type="dxa"/>
              <w:left w:w="140" w:type="dxa"/>
              <w:right w:w="140" w:type="dxa"/>
            </w:tcMar>
          </w:tcPr>
          <w:p>
            <w:pPr>
              <w:spacing w:before="0" w:after="0"/>
            </w:pPr>
            <w:r>
              <w:rPr>
                <w:rFonts w:ascii="Calibri" w:hAnsi="Calibri"/>
                <w:color w:val="1F2937"/>
                <w:sz w:val="18"/>
              </w:rPr>
              <w:t>uvicorn</w:t>
            </w:r>
          </w:p>
        </w:tc>
        <w:tc>
          <w:tcPr>
            <w:tcW w:type="dxa" w:w="1152"/>
            <w:shd w:fill="F8FAFC"/>
            <w:tcMar>
              <w:top w:w="100" w:type="dxa"/>
              <w:bottom w:w="100" w:type="dxa"/>
              <w:left w:w="140" w:type="dxa"/>
              <w:right w:w="140" w:type="dxa"/>
            </w:tcMar>
          </w:tcPr>
          <w:p>
            <w:pPr>
              <w:spacing w:before="0" w:after="0"/>
            </w:pPr>
            <w:r>
              <w:rPr>
                <w:rFonts w:ascii="Calibri" w:hAnsi="Calibri"/>
                <w:color w:val="1F2937"/>
                <w:sz w:val="18"/>
              </w:rPr>
              <w:t>0.23+</w:t>
            </w:r>
          </w:p>
        </w:tc>
        <w:tc>
          <w:tcPr>
            <w:tcW w:type="dxa" w:w="2016"/>
            <w:shd w:fill="F8FAFC"/>
            <w:tcMar>
              <w:top w:w="100" w:type="dxa"/>
              <w:bottom w:w="100" w:type="dxa"/>
              <w:left w:w="140" w:type="dxa"/>
              <w:right w:w="140" w:type="dxa"/>
            </w:tcMar>
          </w:tcPr>
          <w:p>
            <w:pPr>
              <w:spacing w:before="0" w:after="0"/>
            </w:pPr>
            <w:r>
              <w:rPr>
                <w:rFonts w:ascii="Calibri" w:hAnsi="Calibri"/>
                <w:color w:val="1F2937"/>
                <w:sz w:val="18"/>
              </w:rPr>
              <w:t>Server Runner</w:t>
            </w:r>
          </w:p>
        </w:tc>
        <w:tc>
          <w:tcPr>
            <w:tcW w:type="dxa" w:w="4032"/>
            <w:shd w:fill="F8FAFC"/>
            <w:tcMar>
              <w:top w:w="100" w:type="dxa"/>
              <w:bottom w:w="100" w:type="dxa"/>
              <w:left w:w="140" w:type="dxa"/>
              <w:right w:w="140" w:type="dxa"/>
            </w:tcMar>
          </w:tcPr>
          <w:p>
            <w:pPr>
              <w:spacing w:before="0" w:after="0"/>
            </w:pPr>
            <w:r>
              <w:rPr>
                <w:rFonts w:ascii="Calibri" w:hAnsi="Calibri"/>
                <w:color w:val="1F2937"/>
                <w:sz w:val="18"/>
              </w:rPr>
              <w:t>Lightning-fast ASGI web server implementation for FastAPI.</w:t>
            </w:r>
          </w:p>
        </w:tc>
      </w:tr>
      <w:tr>
        <w:tc>
          <w:tcPr>
            <w:tcW w:type="dxa" w:w="2160"/>
            <w:shd w:fill="FFFFFF"/>
            <w:tcMar>
              <w:top w:w="100" w:type="dxa"/>
              <w:bottom w:w="100" w:type="dxa"/>
              <w:left w:w="140" w:type="dxa"/>
              <w:right w:w="140" w:type="dxa"/>
            </w:tcMar>
          </w:tcPr>
          <w:p>
            <w:pPr>
              <w:spacing w:before="0" w:after="0"/>
            </w:pPr>
            <w:r>
              <w:rPr>
                <w:rFonts w:ascii="Calibri" w:hAnsi="Calibri"/>
                <w:color w:val="1F2937"/>
                <w:sz w:val="18"/>
              </w:rPr>
              <w:t>google-genai</w:t>
            </w:r>
          </w:p>
        </w:tc>
        <w:tc>
          <w:tcPr>
            <w:tcW w:type="dxa" w:w="1152"/>
            <w:shd w:fill="FFFFFF"/>
            <w:tcMar>
              <w:top w:w="100" w:type="dxa"/>
              <w:bottom w:w="100" w:type="dxa"/>
              <w:left w:w="140" w:type="dxa"/>
              <w:right w:w="140" w:type="dxa"/>
            </w:tcMar>
          </w:tcPr>
          <w:p>
            <w:pPr>
              <w:spacing w:before="0" w:after="0"/>
            </w:pPr>
            <w:r>
              <w:rPr>
                <w:rFonts w:ascii="Calibri" w:hAnsi="Calibri"/>
                <w:color w:val="1F2937"/>
                <w:sz w:val="18"/>
              </w:rPr>
              <w:t>1.0+</w:t>
            </w:r>
          </w:p>
        </w:tc>
        <w:tc>
          <w:tcPr>
            <w:tcW w:type="dxa" w:w="2016"/>
            <w:shd w:fill="FFFFFF"/>
            <w:tcMar>
              <w:top w:w="100" w:type="dxa"/>
              <w:bottom w:w="100" w:type="dxa"/>
              <w:left w:w="140" w:type="dxa"/>
              <w:right w:w="140" w:type="dxa"/>
            </w:tcMar>
          </w:tcPr>
          <w:p>
            <w:pPr>
              <w:spacing w:before="0" w:after="0"/>
            </w:pPr>
            <w:r>
              <w:rPr>
                <w:rFonts w:ascii="Calibri" w:hAnsi="Calibri"/>
                <w:color w:val="1F2937"/>
                <w:sz w:val="18"/>
              </w:rPr>
              <w:t>RAG Generator</w:t>
            </w:r>
          </w:p>
        </w:tc>
        <w:tc>
          <w:tcPr>
            <w:tcW w:type="dxa" w:w="4032"/>
            <w:shd w:fill="FFFFFF"/>
            <w:tcMar>
              <w:top w:w="100" w:type="dxa"/>
              <w:bottom w:w="100" w:type="dxa"/>
              <w:left w:w="140" w:type="dxa"/>
              <w:right w:w="140" w:type="dxa"/>
            </w:tcMar>
          </w:tcPr>
          <w:p>
            <w:pPr>
              <w:spacing w:before="0" w:after="0"/>
            </w:pPr>
            <w:r>
              <w:rPr>
                <w:rFonts w:ascii="Calibri" w:hAnsi="Calibri"/>
                <w:color w:val="1F2937"/>
                <w:sz w:val="18"/>
              </w:rPr>
              <w:t>Official Google GenAI SDK for calling Gemini 3.6 &amp; 3.7 Flash models.</w:t>
            </w:r>
          </w:p>
        </w:tc>
      </w:tr>
      <w:tr>
        <w:tc>
          <w:tcPr>
            <w:tcW w:type="dxa" w:w="2160"/>
            <w:shd w:fill="F8FAFC"/>
            <w:tcMar>
              <w:top w:w="100" w:type="dxa"/>
              <w:bottom w:w="100" w:type="dxa"/>
              <w:left w:w="140" w:type="dxa"/>
              <w:right w:w="140" w:type="dxa"/>
            </w:tcMar>
          </w:tcPr>
          <w:p>
            <w:pPr>
              <w:spacing w:before="0" w:after="0"/>
            </w:pPr>
            <w:r>
              <w:rPr>
                <w:rFonts w:ascii="Calibri" w:hAnsi="Calibri"/>
                <w:color w:val="1F2937"/>
                <w:sz w:val="18"/>
              </w:rPr>
              <w:t>sentence-transformers</w:t>
            </w:r>
          </w:p>
        </w:tc>
        <w:tc>
          <w:tcPr>
            <w:tcW w:type="dxa" w:w="1152"/>
            <w:shd w:fill="F8FAFC"/>
            <w:tcMar>
              <w:top w:w="100" w:type="dxa"/>
              <w:bottom w:w="100" w:type="dxa"/>
              <w:left w:w="140" w:type="dxa"/>
              <w:right w:w="140" w:type="dxa"/>
            </w:tcMar>
          </w:tcPr>
          <w:p>
            <w:pPr>
              <w:spacing w:before="0" w:after="0"/>
            </w:pPr>
            <w:r>
              <w:rPr>
                <w:rFonts w:ascii="Calibri" w:hAnsi="Calibri"/>
                <w:color w:val="1F2937"/>
                <w:sz w:val="18"/>
              </w:rPr>
              <w:t>6.0+</w:t>
            </w:r>
          </w:p>
        </w:tc>
        <w:tc>
          <w:tcPr>
            <w:tcW w:type="dxa" w:w="2016"/>
            <w:shd w:fill="F8FAFC"/>
            <w:tcMar>
              <w:top w:w="100" w:type="dxa"/>
              <w:bottom w:w="100" w:type="dxa"/>
              <w:left w:w="140" w:type="dxa"/>
              <w:right w:w="140" w:type="dxa"/>
            </w:tcMar>
          </w:tcPr>
          <w:p>
            <w:pPr>
              <w:spacing w:before="0" w:after="0"/>
            </w:pPr>
            <w:r>
              <w:rPr>
                <w:rFonts w:ascii="Calibri" w:hAnsi="Calibri"/>
                <w:color w:val="1F2937"/>
                <w:sz w:val="18"/>
              </w:rPr>
              <w:t>Vector Embeddings</w:t>
            </w:r>
          </w:p>
        </w:tc>
        <w:tc>
          <w:tcPr>
            <w:tcW w:type="dxa" w:w="4032"/>
            <w:shd w:fill="F8FAFC"/>
            <w:tcMar>
              <w:top w:w="100" w:type="dxa"/>
              <w:bottom w:w="100" w:type="dxa"/>
              <w:left w:w="140" w:type="dxa"/>
              <w:right w:w="140" w:type="dxa"/>
            </w:tcMar>
          </w:tcPr>
          <w:p>
            <w:pPr>
              <w:spacing w:before="0" w:after="0"/>
            </w:pPr>
            <w:r>
              <w:rPr>
                <w:rFonts w:ascii="Calibri" w:hAnsi="Calibri"/>
                <w:color w:val="1F2937"/>
                <w:sz w:val="18"/>
              </w:rPr>
              <w:t>Runs 'all-MiniLM-L6-v2' generating 384-dimensional dense semantic vectors.</w:t>
            </w:r>
          </w:p>
        </w:tc>
      </w:tr>
      <w:tr>
        <w:tc>
          <w:tcPr>
            <w:tcW w:type="dxa" w:w="2160"/>
            <w:shd w:fill="FFFFFF"/>
            <w:tcMar>
              <w:top w:w="100" w:type="dxa"/>
              <w:bottom w:w="100" w:type="dxa"/>
              <w:left w:w="140" w:type="dxa"/>
              <w:right w:w="140" w:type="dxa"/>
            </w:tcMar>
          </w:tcPr>
          <w:p>
            <w:pPr>
              <w:spacing w:before="0" w:after="0"/>
            </w:pPr>
            <w:r>
              <w:rPr>
                <w:rFonts w:ascii="Calibri" w:hAnsi="Calibri"/>
                <w:color w:val="1F2937"/>
                <w:sz w:val="18"/>
              </w:rPr>
              <w:t>faiss-cpu</w:t>
            </w:r>
          </w:p>
        </w:tc>
        <w:tc>
          <w:tcPr>
            <w:tcW w:type="dxa" w:w="1152"/>
            <w:shd w:fill="FFFFFF"/>
            <w:tcMar>
              <w:top w:w="100" w:type="dxa"/>
              <w:bottom w:w="100" w:type="dxa"/>
              <w:left w:w="140" w:type="dxa"/>
              <w:right w:w="140" w:type="dxa"/>
            </w:tcMar>
          </w:tcPr>
          <w:p>
            <w:pPr>
              <w:spacing w:before="0" w:after="0"/>
            </w:pPr>
            <w:r>
              <w:rPr>
                <w:rFonts w:ascii="Calibri" w:hAnsi="Calibri"/>
                <w:color w:val="1F2937"/>
                <w:sz w:val="18"/>
              </w:rPr>
              <w:t>1.8+</w:t>
            </w:r>
          </w:p>
        </w:tc>
        <w:tc>
          <w:tcPr>
            <w:tcW w:type="dxa" w:w="2016"/>
            <w:shd w:fill="FFFFFF"/>
            <w:tcMar>
              <w:top w:w="100" w:type="dxa"/>
              <w:bottom w:w="100" w:type="dxa"/>
              <w:left w:w="140" w:type="dxa"/>
              <w:right w:w="140" w:type="dxa"/>
            </w:tcMar>
          </w:tcPr>
          <w:p>
            <w:pPr>
              <w:spacing w:before="0" w:after="0"/>
            </w:pPr>
            <w:r>
              <w:rPr>
                <w:rFonts w:ascii="Calibri" w:hAnsi="Calibri"/>
                <w:color w:val="1F2937"/>
                <w:sz w:val="18"/>
              </w:rPr>
              <w:t>Vector Search</w:t>
            </w:r>
          </w:p>
        </w:tc>
        <w:tc>
          <w:tcPr>
            <w:tcW w:type="dxa" w:w="4032"/>
            <w:shd w:fill="FFFFFF"/>
            <w:tcMar>
              <w:top w:w="100" w:type="dxa"/>
              <w:bottom w:w="100" w:type="dxa"/>
              <w:left w:w="140" w:type="dxa"/>
              <w:right w:w="140" w:type="dxa"/>
            </w:tcMar>
          </w:tcPr>
          <w:p>
            <w:pPr>
              <w:spacing w:before="0" w:after="0"/>
            </w:pPr>
            <w:r>
              <w:rPr>
                <w:rFonts w:ascii="Calibri" w:hAnsi="Calibri"/>
                <w:color w:val="1F2937"/>
                <w:sz w:val="18"/>
              </w:rPr>
              <w:t>Facebook AI Similarity Search library for sub-20ms inner-product k-NN queries.</w:t>
            </w:r>
          </w:p>
        </w:tc>
      </w:tr>
      <w:tr>
        <w:tc>
          <w:tcPr>
            <w:tcW w:type="dxa" w:w="2160"/>
            <w:shd w:fill="F8FAFC"/>
            <w:tcMar>
              <w:top w:w="100" w:type="dxa"/>
              <w:bottom w:w="100" w:type="dxa"/>
              <w:left w:w="140" w:type="dxa"/>
              <w:right w:w="140" w:type="dxa"/>
            </w:tcMar>
          </w:tcPr>
          <w:p>
            <w:pPr>
              <w:spacing w:before="0" w:after="0"/>
            </w:pPr>
            <w:r>
              <w:rPr>
                <w:rFonts w:ascii="Calibri" w:hAnsi="Calibri"/>
                <w:color w:val="1F2937"/>
                <w:sz w:val="18"/>
              </w:rPr>
              <w:t>torch</w:t>
            </w:r>
          </w:p>
        </w:tc>
        <w:tc>
          <w:tcPr>
            <w:tcW w:type="dxa" w:w="1152"/>
            <w:shd w:fill="F8FAFC"/>
            <w:tcMar>
              <w:top w:w="100" w:type="dxa"/>
              <w:bottom w:w="100" w:type="dxa"/>
              <w:left w:w="140" w:type="dxa"/>
              <w:right w:w="140" w:type="dxa"/>
            </w:tcMar>
          </w:tcPr>
          <w:p>
            <w:pPr>
              <w:spacing w:before="0" w:after="0"/>
            </w:pPr>
            <w:r>
              <w:rPr>
                <w:rFonts w:ascii="Calibri" w:hAnsi="Calibri"/>
                <w:color w:val="1F2937"/>
                <w:sz w:val="18"/>
              </w:rPr>
              <w:t>2.14+</w:t>
            </w:r>
          </w:p>
        </w:tc>
        <w:tc>
          <w:tcPr>
            <w:tcW w:type="dxa" w:w="2016"/>
            <w:shd w:fill="F8FAFC"/>
            <w:tcMar>
              <w:top w:w="100" w:type="dxa"/>
              <w:bottom w:w="100" w:type="dxa"/>
              <w:left w:w="140" w:type="dxa"/>
              <w:right w:w="140" w:type="dxa"/>
            </w:tcMar>
          </w:tcPr>
          <w:p>
            <w:pPr>
              <w:spacing w:before="0" w:after="0"/>
            </w:pPr>
            <w:r>
              <w:rPr>
                <w:rFonts w:ascii="Calibri" w:hAnsi="Calibri"/>
                <w:color w:val="1F2937"/>
                <w:sz w:val="18"/>
              </w:rPr>
              <w:t>Deep Learning Core</w:t>
            </w:r>
          </w:p>
        </w:tc>
        <w:tc>
          <w:tcPr>
            <w:tcW w:type="dxa" w:w="4032"/>
            <w:shd w:fill="F8FAFC"/>
            <w:tcMar>
              <w:top w:w="100" w:type="dxa"/>
              <w:bottom w:w="100" w:type="dxa"/>
              <w:left w:w="140" w:type="dxa"/>
              <w:right w:w="140" w:type="dxa"/>
            </w:tcMar>
          </w:tcPr>
          <w:p>
            <w:pPr>
              <w:spacing w:before="0" w:after="0"/>
            </w:pPr>
            <w:r>
              <w:rPr>
                <w:rFonts w:ascii="Calibri" w:hAnsi="Calibri"/>
                <w:color w:val="1F2937"/>
                <w:sz w:val="18"/>
              </w:rPr>
              <w:t>PyTorch backend powering embedding models and tensor transformations.</w:t>
            </w:r>
          </w:p>
        </w:tc>
      </w:tr>
      <w:tr>
        <w:tc>
          <w:tcPr>
            <w:tcW w:type="dxa" w:w="2160"/>
            <w:shd w:fill="FFFFFF"/>
            <w:tcMar>
              <w:top w:w="100" w:type="dxa"/>
              <w:bottom w:w="100" w:type="dxa"/>
              <w:left w:w="140" w:type="dxa"/>
              <w:right w:w="140" w:type="dxa"/>
            </w:tcMar>
          </w:tcPr>
          <w:p>
            <w:pPr>
              <w:spacing w:before="0" w:after="0"/>
            </w:pPr>
            <w:r>
              <w:rPr>
                <w:rFonts w:ascii="Calibri" w:hAnsi="Calibri"/>
                <w:color w:val="1F2937"/>
                <w:sz w:val="18"/>
              </w:rPr>
              <w:t>networkx</w:t>
            </w:r>
          </w:p>
        </w:tc>
        <w:tc>
          <w:tcPr>
            <w:tcW w:type="dxa" w:w="1152"/>
            <w:shd w:fill="FFFFFF"/>
            <w:tcMar>
              <w:top w:w="100" w:type="dxa"/>
              <w:bottom w:w="100" w:type="dxa"/>
              <w:left w:w="140" w:type="dxa"/>
              <w:right w:w="140" w:type="dxa"/>
            </w:tcMar>
          </w:tcPr>
          <w:p>
            <w:pPr>
              <w:spacing w:before="0" w:after="0"/>
            </w:pPr>
            <w:r>
              <w:rPr>
                <w:rFonts w:ascii="Calibri" w:hAnsi="Calibri"/>
                <w:color w:val="1F2937"/>
                <w:sz w:val="18"/>
              </w:rPr>
              <w:t>3.1+</w:t>
            </w:r>
          </w:p>
        </w:tc>
        <w:tc>
          <w:tcPr>
            <w:tcW w:type="dxa" w:w="2016"/>
            <w:shd w:fill="FFFFFF"/>
            <w:tcMar>
              <w:top w:w="100" w:type="dxa"/>
              <w:bottom w:w="100" w:type="dxa"/>
              <w:left w:w="140" w:type="dxa"/>
              <w:right w:w="140" w:type="dxa"/>
            </w:tcMar>
          </w:tcPr>
          <w:p>
            <w:pPr>
              <w:spacing w:before="0" w:after="0"/>
            </w:pPr>
            <w:r>
              <w:rPr>
                <w:rFonts w:ascii="Calibri" w:hAnsi="Calibri"/>
                <w:color w:val="1F2937"/>
                <w:sz w:val="18"/>
              </w:rPr>
              <w:t>Graph Analysis</w:t>
            </w:r>
          </w:p>
        </w:tc>
        <w:tc>
          <w:tcPr>
            <w:tcW w:type="dxa" w:w="4032"/>
            <w:shd w:fill="FFFFFF"/>
            <w:tcMar>
              <w:top w:w="100" w:type="dxa"/>
              <w:bottom w:w="100" w:type="dxa"/>
              <w:left w:w="140" w:type="dxa"/>
              <w:right w:w="140" w:type="dxa"/>
            </w:tcMar>
          </w:tcPr>
          <w:p>
            <w:pPr>
              <w:spacing w:before="0" w:after="0"/>
            </w:pPr>
            <w:r>
              <w:rPr>
                <w:rFonts w:ascii="Calibri" w:hAnsi="Calibri"/>
                <w:color w:val="1F2937"/>
                <w:sz w:val="18"/>
              </w:rPr>
              <w:t>Bipartite graph algorithms, co-bidding analysis, and Louvain community detection.</w:t>
            </w:r>
          </w:p>
        </w:tc>
      </w:tr>
      <w:tr>
        <w:tc>
          <w:tcPr>
            <w:tcW w:type="dxa" w:w="2160"/>
            <w:shd w:fill="F8FAFC"/>
            <w:tcMar>
              <w:top w:w="100" w:type="dxa"/>
              <w:bottom w:w="100" w:type="dxa"/>
              <w:left w:w="140" w:type="dxa"/>
              <w:right w:w="140" w:type="dxa"/>
            </w:tcMar>
          </w:tcPr>
          <w:p>
            <w:pPr>
              <w:spacing w:before="0" w:after="0"/>
            </w:pPr>
            <w:r>
              <w:rPr>
                <w:rFonts w:ascii="Calibri" w:hAnsi="Calibri"/>
                <w:color w:val="1F2937"/>
                <w:sz w:val="18"/>
              </w:rPr>
              <w:t>scikit-learn</w:t>
            </w:r>
          </w:p>
        </w:tc>
        <w:tc>
          <w:tcPr>
            <w:tcW w:type="dxa" w:w="1152"/>
            <w:shd w:fill="F8FAFC"/>
            <w:tcMar>
              <w:top w:w="100" w:type="dxa"/>
              <w:bottom w:w="100" w:type="dxa"/>
              <w:left w:w="140" w:type="dxa"/>
              <w:right w:w="140" w:type="dxa"/>
            </w:tcMar>
          </w:tcPr>
          <w:p>
            <w:pPr>
              <w:spacing w:before="0" w:after="0"/>
            </w:pPr>
            <w:r>
              <w:rPr>
                <w:rFonts w:ascii="Calibri" w:hAnsi="Calibri"/>
                <w:color w:val="1F2937"/>
                <w:sz w:val="18"/>
              </w:rPr>
              <w:t>1.5+</w:t>
            </w:r>
          </w:p>
        </w:tc>
        <w:tc>
          <w:tcPr>
            <w:tcW w:type="dxa" w:w="2016"/>
            <w:shd w:fill="F8FAFC"/>
            <w:tcMar>
              <w:top w:w="100" w:type="dxa"/>
              <w:bottom w:w="100" w:type="dxa"/>
              <w:left w:w="140" w:type="dxa"/>
              <w:right w:w="140" w:type="dxa"/>
            </w:tcMar>
          </w:tcPr>
          <w:p>
            <w:pPr>
              <w:spacing w:before="0" w:after="0"/>
            </w:pPr>
            <w:r>
              <w:rPr>
                <w:rFonts w:ascii="Calibri" w:hAnsi="Calibri"/>
                <w:color w:val="1F2937"/>
                <w:sz w:val="18"/>
              </w:rPr>
              <w:t>Machine Learning</w:t>
            </w:r>
          </w:p>
        </w:tc>
        <w:tc>
          <w:tcPr>
            <w:tcW w:type="dxa" w:w="4032"/>
            <w:shd w:fill="F8FAFC"/>
            <w:tcMar>
              <w:top w:w="100" w:type="dxa"/>
              <w:bottom w:w="100" w:type="dxa"/>
              <w:left w:w="140" w:type="dxa"/>
              <w:right w:w="140" w:type="dxa"/>
            </w:tcMar>
          </w:tcPr>
          <w:p>
            <w:pPr>
              <w:spacing w:before="0" w:after="0"/>
            </w:pPr>
            <w:r>
              <w:rPr>
                <w:rFonts w:ascii="Calibri" w:hAnsi="Calibri"/>
                <w:color w:val="1F2937"/>
                <w:sz w:val="18"/>
              </w:rPr>
              <w:t>TF-IDF vectorizers, Random Forest classifiers, and K-Means clustering.</w:t>
            </w:r>
          </w:p>
        </w:tc>
      </w:tr>
      <w:tr>
        <w:tc>
          <w:tcPr>
            <w:tcW w:type="dxa" w:w="2160"/>
            <w:shd w:fill="FFFFFF"/>
            <w:tcMar>
              <w:top w:w="100" w:type="dxa"/>
              <w:bottom w:w="100" w:type="dxa"/>
              <w:left w:w="140" w:type="dxa"/>
              <w:right w:w="140" w:type="dxa"/>
            </w:tcMar>
          </w:tcPr>
          <w:p>
            <w:pPr>
              <w:spacing w:before="0" w:after="0"/>
            </w:pPr>
            <w:r>
              <w:rPr>
                <w:rFonts w:ascii="Calibri" w:hAnsi="Calibri"/>
                <w:color w:val="1F2937"/>
                <w:sz w:val="18"/>
              </w:rPr>
              <w:t>xgboost</w:t>
            </w:r>
          </w:p>
        </w:tc>
        <w:tc>
          <w:tcPr>
            <w:tcW w:type="dxa" w:w="1152"/>
            <w:shd w:fill="FFFFFF"/>
            <w:tcMar>
              <w:top w:w="100" w:type="dxa"/>
              <w:bottom w:w="100" w:type="dxa"/>
              <w:left w:w="140" w:type="dxa"/>
              <w:right w:w="140" w:type="dxa"/>
            </w:tcMar>
          </w:tcPr>
          <w:p>
            <w:pPr>
              <w:spacing w:before="0" w:after="0"/>
            </w:pPr>
            <w:r>
              <w:rPr>
                <w:rFonts w:ascii="Calibri" w:hAnsi="Calibri"/>
                <w:color w:val="1F2937"/>
                <w:sz w:val="18"/>
              </w:rPr>
              <w:t>3.2+</w:t>
            </w:r>
          </w:p>
        </w:tc>
        <w:tc>
          <w:tcPr>
            <w:tcW w:type="dxa" w:w="2016"/>
            <w:shd w:fill="FFFFFF"/>
            <w:tcMar>
              <w:top w:w="100" w:type="dxa"/>
              <w:bottom w:w="100" w:type="dxa"/>
              <w:left w:w="140" w:type="dxa"/>
              <w:right w:w="140" w:type="dxa"/>
            </w:tcMar>
          </w:tcPr>
          <w:p>
            <w:pPr>
              <w:spacing w:before="0" w:after="0"/>
            </w:pPr>
            <w:r>
              <w:rPr>
                <w:rFonts w:ascii="Calibri" w:hAnsi="Calibri"/>
                <w:color w:val="1F2937"/>
                <w:sz w:val="18"/>
              </w:rPr>
              <w:t>Gradient Boosting</w:t>
            </w:r>
          </w:p>
        </w:tc>
        <w:tc>
          <w:tcPr>
            <w:tcW w:type="dxa" w:w="4032"/>
            <w:shd w:fill="FFFFFF"/>
            <w:tcMar>
              <w:top w:w="100" w:type="dxa"/>
              <w:bottom w:w="100" w:type="dxa"/>
              <w:left w:w="140" w:type="dxa"/>
              <w:right w:w="140" w:type="dxa"/>
            </w:tcMar>
          </w:tcPr>
          <w:p>
            <w:pPr>
              <w:spacing w:before="0" w:after="0"/>
            </w:pPr>
            <w:r>
              <w:rPr>
                <w:rFonts w:ascii="Calibri" w:hAnsi="Calibri"/>
                <w:color w:val="1F2937"/>
                <w:sz w:val="18"/>
              </w:rPr>
              <w:t>High-accuracy gradient boosted trees for composite risk scoring.</w:t>
            </w:r>
          </w:p>
        </w:tc>
      </w:tr>
      <w:tr>
        <w:tc>
          <w:tcPr>
            <w:tcW w:type="dxa" w:w="2160"/>
            <w:shd w:fill="F8FAFC"/>
            <w:tcMar>
              <w:top w:w="100" w:type="dxa"/>
              <w:bottom w:w="100" w:type="dxa"/>
              <w:left w:w="140" w:type="dxa"/>
              <w:right w:w="140" w:type="dxa"/>
            </w:tcMar>
          </w:tcPr>
          <w:p>
            <w:pPr>
              <w:spacing w:before="0" w:after="0"/>
            </w:pPr>
            <w:r>
              <w:rPr>
                <w:rFonts w:ascii="Calibri" w:hAnsi="Calibri"/>
                <w:color w:val="1F2937"/>
                <w:sz w:val="18"/>
              </w:rPr>
              <w:t>pillow</w:t>
            </w:r>
          </w:p>
        </w:tc>
        <w:tc>
          <w:tcPr>
            <w:tcW w:type="dxa" w:w="1152"/>
            <w:shd w:fill="F8FAFC"/>
            <w:tcMar>
              <w:top w:w="100" w:type="dxa"/>
              <w:bottom w:w="100" w:type="dxa"/>
              <w:left w:w="140" w:type="dxa"/>
              <w:right w:w="140" w:type="dxa"/>
            </w:tcMar>
          </w:tcPr>
          <w:p>
            <w:pPr>
              <w:spacing w:before="0" w:after="0"/>
            </w:pPr>
            <w:r>
              <w:rPr>
                <w:rFonts w:ascii="Calibri" w:hAnsi="Calibri"/>
                <w:color w:val="1F2937"/>
                <w:sz w:val="18"/>
              </w:rPr>
              <w:t>12.2+</w:t>
            </w:r>
          </w:p>
        </w:tc>
        <w:tc>
          <w:tcPr>
            <w:tcW w:type="dxa" w:w="2016"/>
            <w:shd w:fill="F8FAFC"/>
            <w:tcMar>
              <w:top w:w="100" w:type="dxa"/>
              <w:bottom w:w="100" w:type="dxa"/>
              <w:left w:w="140" w:type="dxa"/>
              <w:right w:w="140" w:type="dxa"/>
            </w:tcMar>
          </w:tcPr>
          <w:p>
            <w:pPr>
              <w:spacing w:before="0" w:after="0"/>
            </w:pPr>
            <w:r>
              <w:rPr>
                <w:rFonts w:ascii="Calibri" w:hAnsi="Calibri"/>
                <w:color w:val="1F2937"/>
                <w:sz w:val="18"/>
              </w:rPr>
              <w:t>Computer Vision</w:t>
            </w:r>
          </w:p>
        </w:tc>
        <w:tc>
          <w:tcPr>
            <w:tcW w:type="dxa" w:w="4032"/>
            <w:shd w:fill="F8FAFC"/>
            <w:tcMar>
              <w:top w:w="100" w:type="dxa"/>
              <w:bottom w:w="100" w:type="dxa"/>
              <w:left w:w="140" w:type="dxa"/>
              <w:right w:w="140" w:type="dxa"/>
            </w:tcMar>
          </w:tcPr>
          <w:p>
            <w:pPr>
              <w:spacing w:before="0" w:after="0"/>
            </w:pPr>
            <w:r>
              <w:rPr>
                <w:rFonts w:ascii="Calibri" w:hAnsi="Calibri"/>
                <w:color w:val="1F2937"/>
                <w:sz w:val="18"/>
              </w:rPr>
              <w:t>Raw image handling, metadata inspection, and EXIF coordinate extraction.</w:t>
            </w:r>
          </w:p>
        </w:tc>
      </w:tr>
      <w:tr>
        <w:tc>
          <w:tcPr>
            <w:tcW w:type="dxa" w:w="2160"/>
            <w:shd w:fill="FFFFFF"/>
            <w:tcMar>
              <w:top w:w="100" w:type="dxa"/>
              <w:bottom w:w="100" w:type="dxa"/>
              <w:left w:w="140" w:type="dxa"/>
              <w:right w:w="140" w:type="dxa"/>
            </w:tcMar>
          </w:tcPr>
          <w:p>
            <w:pPr>
              <w:spacing w:before="0" w:after="0"/>
            </w:pPr>
            <w:r>
              <w:rPr>
                <w:rFonts w:ascii="Calibri" w:hAnsi="Calibri"/>
                <w:color w:val="1F2937"/>
                <w:sz w:val="18"/>
              </w:rPr>
              <w:t>pandas &amp; numpy</w:t>
            </w:r>
          </w:p>
        </w:tc>
        <w:tc>
          <w:tcPr>
            <w:tcW w:type="dxa" w:w="1152"/>
            <w:shd w:fill="FFFFFF"/>
            <w:tcMar>
              <w:top w:w="100" w:type="dxa"/>
              <w:bottom w:w="100" w:type="dxa"/>
              <w:left w:w="140" w:type="dxa"/>
              <w:right w:w="140" w:type="dxa"/>
            </w:tcMar>
          </w:tcPr>
          <w:p>
            <w:pPr>
              <w:spacing w:before="0" w:after="0"/>
            </w:pPr>
            <w:r>
              <w:rPr>
                <w:rFonts w:ascii="Calibri" w:hAnsi="Calibri"/>
                <w:color w:val="1F2937"/>
                <w:sz w:val="18"/>
              </w:rPr>
              <w:t>2.0+ / 1.26+</w:t>
            </w:r>
          </w:p>
        </w:tc>
        <w:tc>
          <w:tcPr>
            <w:tcW w:type="dxa" w:w="2016"/>
            <w:shd w:fill="FFFFFF"/>
            <w:tcMar>
              <w:top w:w="100" w:type="dxa"/>
              <w:bottom w:w="100" w:type="dxa"/>
              <w:left w:w="140" w:type="dxa"/>
              <w:right w:w="140" w:type="dxa"/>
            </w:tcMar>
          </w:tcPr>
          <w:p>
            <w:pPr>
              <w:spacing w:before="0" w:after="0"/>
            </w:pPr>
            <w:r>
              <w:rPr>
                <w:rFonts w:ascii="Calibri" w:hAnsi="Calibri"/>
                <w:color w:val="1F2937"/>
                <w:sz w:val="18"/>
              </w:rPr>
              <w:t>Data Processing</w:t>
            </w:r>
          </w:p>
        </w:tc>
        <w:tc>
          <w:tcPr>
            <w:tcW w:type="dxa" w:w="4032"/>
            <w:shd w:fill="FFFFFF"/>
            <w:tcMar>
              <w:top w:w="100" w:type="dxa"/>
              <w:bottom w:w="100" w:type="dxa"/>
              <w:left w:w="140" w:type="dxa"/>
              <w:right w:w="140" w:type="dxa"/>
            </w:tcMar>
          </w:tcPr>
          <w:p>
            <w:pPr>
              <w:spacing w:before="0" w:after="0"/>
            </w:pPr>
            <w:r>
              <w:rPr>
                <w:rFonts w:ascii="Calibri" w:hAnsi="Calibri"/>
                <w:color w:val="1F2937"/>
                <w:sz w:val="18"/>
              </w:rPr>
              <w:t>In-memory manipulation of works, vendor matrices, and payment vouchers.</w:t>
            </w:r>
          </w:p>
        </w:tc>
      </w:tr>
      <w:tr>
        <w:tc>
          <w:tcPr>
            <w:tcW w:type="dxa" w:w="2160"/>
            <w:shd w:fill="F8FAFC"/>
            <w:tcMar>
              <w:top w:w="100" w:type="dxa"/>
              <w:bottom w:w="100" w:type="dxa"/>
              <w:left w:w="140" w:type="dxa"/>
              <w:right w:w="140" w:type="dxa"/>
            </w:tcMar>
          </w:tcPr>
          <w:p>
            <w:pPr>
              <w:spacing w:before="0" w:after="0"/>
            </w:pPr>
            <w:r>
              <w:rPr>
                <w:rFonts w:ascii="Calibri" w:hAnsi="Calibri"/>
                <w:color w:val="1F2937"/>
                <w:sz w:val="18"/>
              </w:rPr>
              <w:t>python-dotenv</w:t>
            </w:r>
          </w:p>
        </w:tc>
        <w:tc>
          <w:tcPr>
            <w:tcW w:type="dxa" w:w="1152"/>
            <w:shd w:fill="F8FAFC"/>
            <w:tcMar>
              <w:top w:w="100" w:type="dxa"/>
              <w:bottom w:w="100" w:type="dxa"/>
              <w:left w:w="140" w:type="dxa"/>
              <w:right w:w="140" w:type="dxa"/>
            </w:tcMar>
          </w:tcPr>
          <w:p>
            <w:pPr>
              <w:spacing w:before="0" w:after="0"/>
            </w:pPr>
            <w:r>
              <w:rPr>
                <w:rFonts w:ascii="Calibri" w:hAnsi="Calibri"/>
                <w:color w:val="1F2937"/>
                <w:sz w:val="18"/>
              </w:rPr>
              <w:t>0.21+</w:t>
            </w:r>
          </w:p>
        </w:tc>
        <w:tc>
          <w:tcPr>
            <w:tcW w:type="dxa" w:w="2016"/>
            <w:shd w:fill="F8FAFC"/>
            <w:tcMar>
              <w:top w:w="100" w:type="dxa"/>
              <w:bottom w:w="100" w:type="dxa"/>
              <w:left w:w="140" w:type="dxa"/>
              <w:right w:w="140" w:type="dxa"/>
            </w:tcMar>
          </w:tcPr>
          <w:p>
            <w:pPr>
              <w:spacing w:before="0" w:after="0"/>
            </w:pPr>
            <w:r>
              <w:rPr>
                <w:rFonts w:ascii="Calibri" w:hAnsi="Calibri"/>
                <w:color w:val="1F2937"/>
                <w:sz w:val="18"/>
              </w:rPr>
              <w:t>Configuration</w:t>
            </w:r>
          </w:p>
        </w:tc>
        <w:tc>
          <w:tcPr>
            <w:tcW w:type="dxa" w:w="4032"/>
            <w:shd w:fill="F8FAFC"/>
            <w:tcMar>
              <w:top w:w="100" w:type="dxa"/>
              <w:bottom w:w="100" w:type="dxa"/>
              <w:left w:w="140" w:type="dxa"/>
              <w:right w:w="140" w:type="dxa"/>
            </w:tcMar>
          </w:tcPr>
          <w:p>
            <w:pPr>
              <w:spacing w:before="0" w:after="0"/>
            </w:pPr>
            <w:r>
              <w:rPr>
                <w:rFonts w:ascii="Calibri" w:hAnsi="Calibri"/>
                <w:color w:val="1F2937"/>
                <w:sz w:val="18"/>
              </w:rPr>
              <w:t>Loads local environment variables including GEMINI_API_KEY securely.</w:t>
            </w:r>
          </w:p>
        </w:tc>
      </w:tr>
    </w:tbl>
    <w:p>
      <w:pPr>
        <w:spacing w:after="160"/>
      </w:pPr>
    </w:p>
    <w:p>
      <w:pPr>
        <w:pStyle w:val="Heading2"/>
        <w:keepNext/>
        <w:spacing w:before="280" w:after="80"/>
      </w:pPr>
      <w:r>
        <w:rPr>
          <w:rFonts w:ascii="Calibri" w:hAnsi="Calibri"/>
          <w:b/>
          <w:color w:val="2563EB"/>
          <w:sz w:val="28"/>
        </w:rPr>
        <w:t>4.2 Node.js &amp; Express Backend Dependencies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340"/>
        <w:gridCol w:w="2340"/>
        <w:gridCol w:w="2340"/>
        <w:gridCol w:w="2340"/>
      </w:tblGrid>
      <w:tr>
        <w:tc>
          <w:tcPr>
            <w:tcW w:type="dxa" w:w="2160"/>
            <w:shd w:fill="1E3A8A"/>
            <w:tcMar>
              <w:top w:w="120" w:type="dxa"/>
              <w:bottom w:w="120" w:type="dxa"/>
              <w:left w:w="140" w:type="dxa"/>
              <w:right w:w="140" w:type="dxa"/>
            </w:tcMar>
          </w:tcPr>
          <w:p>
            <w:pPr>
              <w:spacing w:before="0" w:after="0"/>
            </w:pPr>
            <w:r>
              <w:rPr>
                <w:rFonts w:ascii="Calibri" w:hAnsi="Calibri"/>
                <w:b/>
                <w:color w:val="FFFFFF"/>
                <w:sz w:val="19"/>
              </w:rPr>
              <w:t>Package Name</w:t>
            </w:r>
          </w:p>
        </w:tc>
        <w:tc>
          <w:tcPr>
            <w:tcW w:type="dxa" w:w="1152"/>
            <w:shd w:fill="1E3A8A"/>
            <w:tcMar>
              <w:top w:w="120" w:type="dxa"/>
              <w:bottom w:w="120" w:type="dxa"/>
              <w:left w:w="140" w:type="dxa"/>
              <w:right w:w="140" w:type="dxa"/>
            </w:tcMar>
          </w:tcPr>
          <w:p>
            <w:pPr>
              <w:spacing w:before="0" w:after="0"/>
            </w:pPr>
            <w:r>
              <w:rPr>
                <w:rFonts w:ascii="Calibri" w:hAnsi="Calibri"/>
                <w:b/>
                <w:color w:val="FFFFFF"/>
                <w:sz w:val="19"/>
              </w:rPr>
              <w:t>Version</w:t>
            </w:r>
          </w:p>
        </w:tc>
        <w:tc>
          <w:tcPr>
            <w:tcW w:type="dxa" w:w="2016"/>
            <w:shd w:fill="1E3A8A"/>
            <w:tcMar>
              <w:top w:w="120" w:type="dxa"/>
              <w:bottom w:w="120" w:type="dxa"/>
              <w:left w:w="140" w:type="dxa"/>
              <w:right w:w="140" w:type="dxa"/>
            </w:tcMar>
          </w:tcPr>
          <w:p>
            <w:pPr>
              <w:spacing w:before="0" w:after="0"/>
            </w:pPr>
            <w:r>
              <w:rPr>
                <w:rFonts w:ascii="Calibri" w:hAnsi="Calibri"/>
                <w:b/>
                <w:color w:val="FFFFFF"/>
                <w:sz w:val="19"/>
              </w:rPr>
              <w:t>Scope / Component</w:t>
            </w:r>
          </w:p>
        </w:tc>
        <w:tc>
          <w:tcPr>
            <w:tcW w:type="dxa" w:w="4032"/>
            <w:shd w:fill="1E3A8A"/>
            <w:tcMar>
              <w:top w:w="120" w:type="dxa"/>
              <w:bottom w:w="120" w:type="dxa"/>
              <w:left w:w="140" w:type="dxa"/>
              <w:right w:w="140" w:type="dxa"/>
            </w:tcMar>
          </w:tcPr>
          <w:p>
            <w:pPr>
              <w:spacing w:before="0" w:after="0"/>
            </w:pPr>
            <w:r>
              <w:rPr>
                <w:rFonts w:ascii="Calibri" w:hAnsi="Calibri"/>
                <w:b/>
                <w:color w:val="FFFFFF"/>
                <w:sz w:val="19"/>
              </w:rPr>
              <w:t>Role &amp; Functional Description</w:t>
            </w:r>
          </w:p>
        </w:tc>
      </w:tr>
      <w:tr>
        <w:tc>
          <w:tcPr>
            <w:tcW w:type="dxa" w:w="2160"/>
            <w:shd w:fill="FFFFFF"/>
            <w:tcMar>
              <w:top w:w="100" w:type="dxa"/>
              <w:bottom w:w="100" w:type="dxa"/>
              <w:left w:w="140" w:type="dxa"/>
              <w:right w:w="140" w:type="dxa"/>
            </w:tcMar>
          </w:tcPr>
          <w:p>
            <w:pPr>
              <w:spacing w:before="0" w:after="0"/>
            </w:pPr>
            <w:r>
              <w:rPr>
                <w:rFonts w:ascii="Calibri" w:hAnsi="Calibri"/>
                <w:color w:val="1F2937"/>
                <w:sz w:val="18"/>
              </w:rPr>
              <w:t>express</w:t>
            </w:r>
          </w:p>
        </w:tc>
        <w:tc>
          <w:tcPr>
            <w:tcW w:type="dxa" w:w="1152"/>
            <w:shd w:fill="FFFFFF"/>
            <w:tcMar>
              <w:top w:w="100" w:type="dxa"/>
              <w:bottom w:w="100" w:type="dxa"/>
              <w:left w:w="140" w:type="dxa"/>
              <w:right w:w="140" w:type="dxa"/>
            </w:tcMar>
          </w:tcPr>
          <w:p>
            <w:pPr>
              <w:spacing w:before="0" w:after="0"/>
            </w:pPr>
            <w:r>
              <w:rPr>
                <w:rFonts w:ascii="Calibri" w:hAnsi="Calibri"/>
                <w:color w:val="1F2937"/>
                <w:sz w:val="18"/>
              </w:rPr>
              <w:t>4.18+</w:t>
            </w:r>
          </w:p>
        </w:tc>
        <w:tc>
          <w:tcPr>
            <w:tcW w:type="dxa" w:w="2016"/>
            <w:shd w:fill="FFFFFF"/>
            <w:tcMar>
              <w:top w:w="100" w:type="dxa"/>
              <w:bottom w:w="100" w:type="dxa"/>
              <w:left w:w="140" w:type="dxa"/>
              <w:right w:w="140" w:type="dxa"/>
            </w:tcMar>
          </w:tcPr>
          <w:p>
            <w:pPr>
              <w:spacing w:before="0" w:after="0"/>
            </w:pPr>
            <w:r>
              <w:rPr>
                <w:rFonts w:ascii="Calibri" w:hAnsi="Calibri"/>
                <w:color w:val="1F2937"/>
                <w:sz w:val="18"/>
              </w:rPr>
              <w:t>HTTP Server</w:t>
            </w:r>
          </w:p>
        </w:tc>
        <w:tc>
          <w:tcPr>
            <w:tcW w:type="dxa" w:w="4032"/>
            <w:shd w:fill="FFFFFF"/>
            <w:tcMar>
              <w:top w:w="100" w:type="dxa"/>
              <w:bottom w:w="100" w:type="dxa"/>
              <w:left w:w="140" w:type="dxa"/>
              <w:right w:w="140" w:type="dxa"/>
            </w:tcMar>
          </w:tcPr>
          <w:p>
            <w:pPr>
              <w:spacing w:before="0" w:after="0"/>
            </w:pPr>
            <w:r>
              <w:rPr>
                <w:rFonts w:ascii="Calibri" w:hAnsi="Calibri"/>
                <w:color w:val="1F2937"/>
                <w:sz w:val="18"/>
              </w:rPr>
              <w:t>Robust web framework powering REST API gateway and routing.</w:t>
            </w:r>
          </w:p>
        </w:tc>
      </w:tr>
      <w:tr>
        <w:tc>
          <w:tcPr>
            <w:tcW w:type="dxa" w:w="2160"/>
            <w:shd w:fill="F8FAFC"/>
            <w:tcMar>
              <w:top w:w="100" w:type="dxa"/>
              <w:bottom w:w="100" w:type="dxa"/>
              <w:left w:w="140" w:type="dxa"/>
              <w:right w:w="140" w:type="dxa"/>
            </w:tcMar>
          </w:tcPr>
          <w:p>
            <w:pPr>
              <w:spacing w:before="0" w:after="0"/>
            </w:pPr>
            <w:r>
              <w:rPr>
                <w:rFonts w:ascii="Calibri" w:hAnsi="Calibri"/>
                <w:color w:val="1F2937"/>
                <w:sz w:val="18"/>
              </w:rPr>
              <w:t>jsonwebtoken</w:t>
            </w:r>
          </w:p>
        </w:tc>
        <w:tc>
          <w:tcPr>
            <w:tcW w:type="dxa" w:w="1152"/>
            <w:shd w:fill="F8FAFC"/>
            <w:tcMar>
              <w:top w:w="100" w:type="dxa"/>
              <w:bottom w:w="100" w:type="dxa"/>
              <w:left w:w="140" w:type="dxa"/>
              <w:right w:w="140" w:type="dxa"/>
            </w:tcMar>
          </w:tcPr>
          <w:p>
            <w:pPr>
              <w:spacing w:before="0" w:after="0"/>
            </w:pPr>
            <w:r>
              <w:rPr>
                <w:rFonts w:ascii="Calibri" w:hAnsi="Calibri"/>
                <w:color w:val="1F2937"/>
                <w:sz w:val="18"/>
              </w:rPr>
              <w:t>9.0+</w:t>
            </w:r>
          </w:p>
        </w:tc>
        <w:tc>
          <w:tcPr>
            <w:tcW w:type="dxa" w:w="2016"/>
            <w:shd w:fill="F8FAFC"/>
            <w:tcMar>
              <w:top w:w="100" w:type="dxa"/>
              <w:bottom w:w="100" w:type="dxa"/>
              <w:left w:w="140" w:type="dxa"/>
              <w:right w:w="140" w:type="dxa"/>
            </w:tcMar>
          </w:tcPr>
          <w:p>
            <w:pPr>
              <w:spacing w:before="0" w:after="0"/>
            </w:pPr>
            <w:r>
              <w:rPr>
                <w:rFonts w:ascii="Calibri" w:hAnsi="Calibri"/>
                <w:color w:val="1F2937"/>
                <w:sz w:val="18"/>
              </w:rPr>
              <w:t>Security / Auth</w:t>
            </w:r>
          </w:p>
        </w:tc>
        <w:tc>
          <w:tcPr>
            <w:tcW w:type="dxa" w:w="4032"/>
            <w:shd w:fill="F8FAFC"/>
            <w:tcMar>
              <w:top w:w="100" w:type="dxa"/>
              <w:bottom w:w="100" w:type="dxa"/>
              <w:left w:w="140" w:type="dxa"/>
              <w:right w:w="140" w:type="dxa"/>
            </w:tcMar>
          </w:tcPr>
          <w:p>
            <w:pPr>
              <w:spacing w:before="0" w:after="0"/>
            </w:pPr>
            <w:r>
              <w:rPr>
                <w:rFonts w:ascii="Calibri" w:hAnsi="Calibri"/>
                <w:color w:val="1F2937"/>
                <w:sz w:val="18"/>
              </w:rPr>
              <w:t>Issues and cryptographically validates 24-hour JWT tokens with role claims.</w:t>
            </w:r>
          </w:p>
        </w:tc>
      </w:tr>
      <w:tr>
        <w:tc>
          <w:tcPr>
            <w:tcW w:type="dxa" w:w="2160"/>
            <w:shd w:fill="FFFFFF"/>
            <w:tcMar>
              <w:top w:w="100" w:type="dxa"/>
              <w:bottom w:w="100" w:type="dxa"/>
              <w:left w:w="140" w:type="dxa"/>
              <w:right w:w="140" w:type="dxa"/>
            </w:tcMar>
          </w:tcPr>
          <w:p>
            <w:pPr>
              <w:spacing w:before="0" w:after="0"/>
            </w:pPr>
            <w:r>
              <w:rPr>
                <w:rFonts w:ascii="Calibri" w:hAnsi="Calibri"/>
                <w:color w:val="1F2937"/>
                <w:sz w:val="18"/>
              </w:rPr>
              <w:t>bcryptjs</w:t>
            </w:r>
          </w:p>
        </w:tc>
        <w:tc>
          <w:tcPr>
            <w:tcW w:type="dxa" w:w="1152"/>
            <w:shd w:fill="FFFFFF"/>
            <w:tcMar>
              <w:top w:w="100" w:type="dxa"/>
              <w:bottom w:w="100" w:type="dxa"/>
              <w:left w:w="140" w:type="dxa"/>
              <w:right w:w="140" w:type="dxa"/>
            </w:tcMar>
          </w:tcPr>
          <w:p>
            <w:pPr>
              <w:spacing w:before="0" w:after="0"/>
            </w:pPr>
            <w:r>
              <w:rPr>
                <w:rFonts w:ascii="Calibri" w:hAnsi="Calibri"/>
                <w:color w:val="1F2937"/>
                <w:sz w:val="18"/>
              </w:rPr>
              <w:t>2.4+</w:t>
            </w:r>
          </w:p>
        </w:tc>
        <w:tc>
          <w:tcPr>
            <w:tcW w:type="dxa" w:w="2016"/>
            <w:shd w:fill="FFFFFF"/>
            <w:tcMar>
              <w:top w:w="100" w:type="dxa"/>
              <w:bottom w:w="100" w:type="dxa"/>
              <w:left w:w="140" w:type="dxa"/>
              <w:right w:w="140" w:type="dxa"/>
            </w:tcMar>
          </w:tcPr>
          <w:p>
            <w:pPr>
              <w:spacing w:before="0" w:after="0"/>
            </w:pPr>
            <w:r>
              <w:rPr>
                <w:rFonts w:ascii="Calibri" w:hAnsi="Calibri"/>
                <w:color w:val="1F2937"/>
                <w:sz w:val="18"/>
              </w:rPr>
              <w:t>Password Security</w:t>
            </w:r>
          </w:p>
        </w:tc>
        <w:tc>
          <w:tcPr>
            <w:tcW w:type="dxa" w:w="4032"/>
            <w:shd w:fill="FFFFFF"/>
            <w:tcMar>
              <w:top w:w="100" w:type="dxa"/>
              <w:bottom w:w="100" w:type="dxa"/>
              <w:left w:w="140" w:type="dxa"/>
              <w:right w:w="140" w:type="dxa"/>
            </w:tcMar>
          </w:tcPr>
          <w:p>
            <w:pPr>
              <w:spacing w:before="0" w:after="0"/>
            </w:pPr>
            <w:r>
              <w:rPr>
                <w:rFonts w:ascii="Calibri" w:hAnsi="Calibri"/>
                <w:color w:val="1F2937"/>
                <w:sz w:val="18"/>
              </w:rPr>
              <w:t>One-way password hashing for administrative and citizen user accounts.</w:t>
            </w:r>
          </w:p>
        </w:tc>
      </w:tr>
      <w:tr>
        <w:tc>
          <w:tcPr>
            <w:tcW w:type="dxa" w:w="2160"/>
            <w:shd w:fill="F8FAFC"/>
            <w:tcMar>
              <w:top w:w="100" w:type="dxa"/>
              <w:bottom w:w="100" w:type="dxa"/>
              <w:left w:w="140" w:type="dxa"/>
              <w:right w:w="140" w:type="dxa"/>
            </w:tcMar>
          </w:tcPr>
          <w:p>
            <w:pPr>
              <w:spacing w:before="0" w:after="0"/>
            </w:pPr>
            <w:r>
              <w:rPr>
                <w:rFonts w:ascii="Calibri" w:hAnsi="Calibri"/>
                <w:color w:val="1F2937"/>
                <w:sz w:val="18"/>
              </w:rPr>
              <w:t>axios</w:t>
            </w:r>
          </w:p>
        </w:tc>
        <w:tc>
          <w:tcPr>
            <w:tcW w:type="dxa" w:w="1152"/>
            <w:shd w:fill="F8FAFC"/>
            <w:tcMar>
              <w:top w:w="100" w:type="dxa"/>
              <w:bottom w:w="100" w:type="dxa"/>
              <w:left w:w="140" w:type="dxa"/>
              <w:right w:w="140" w:type="dxa"/>
            </w:tcMar>
          </w:tcPr>
          <w:p>
            <w:pPr>
              <w:spacing w:before="0" w:after="0"/>
            </w:pPr>
            <w:r>
              <w:rPr>
                <w:rFonts w:ascii="Calibri" w:hAnsi="Calibri"/>
                <w:color w:val="1F2937"/>
                <w:sz w:val="18"/>
              </w:rPr>
              <w:t>1.6+</w:t>
            </w:r>
          </w:p>
        </w:tc>
        <w:tc>
          <w:tcPr>
            <w:tcW w:type="dxa" w:w="2016"/>
            <w:shd w:fill="F8FAFC"/>
            <w:tcMar>
              <w:top w:w="100" w:type="dxa"/>
              <w:bottom w:w="100" w:type="dxa"/>
              <w:left w:w="140" w:type="dxa"/>
              <w:right w:w="140" w:type="dxa"/>
            </w:tcMar>
          </w:tcPr>
          <w:p>
            <w:pPr>
              <w:spacing w:before="0" w:after="0"/>
            </w:pPr>
            <w:r>
              <w:rPr>
                <w:rFonts w:ascii="Calibri" w:hAnsi="Calibri"/>
                <w:color w:val="1F2937"/>
                <w:sz w:val="18"/>
              </w:rPr>
              <w:t>HTTP Client</w:t>
            </w:r>
          </w:p>
        </w:tc>
        <w:tc>
          <w:tcPr>
            <w:tcW w:type="dxa" w:w="4032"/>
            <w:shd w:fill="F8FAFC"/>
            <w:tcMar>
              <w:top w:w="100" w:type="dxa"/>
              <w:bottom w:w="100" w:type="dxa"/>
              <w:left w:w="140" w:type="dxa"/>
              <w:right w:w="140" w:type="dxa"/>
            </w:tcMar>
          </w:tcPr>
          <w:p>
            <w:pPr>
              <w:spacing w:before="0" w:after="0"/>
            </w:pPr>
            <w:r>
              <w:rPr>
                <w:rFonts w:ascii="Calibri" w:hAnsi="Calibri"/>
                <w:color w:val="1F2937"/>
                <w:sz w:val="18"/>
              </w:rPr>
              <w:t>Handles communication between Express gateway and FastAPI ML backend.</w:t>
            </w:r>
          </w:p>
        </w:tc>
      </w:tr>
      <w:tr>
        <w:tc>
          <w:tcPr>
            <w:tcW w:type="dxa" w:w="2160"/>
            <w:shd w:fill="FFFFFF"/>
            <w:tcMar>
              <w:top w:w="100" w:type="dxa"/>
              <w:bottom w:w="100" w:type="dxa"/>
              <w:left w:w="140" w:type="dxa"/>
              <w:right w:w="140" w:type="dxa"/>
            </w:tcMar>
          </w:tcPr>
          <w:p>
            <w:pPr>
              <w:spacing w:before="0" w:after="0"/>
            </w:pPr>
            <w:r>
              <w:rPr>
                <w:rFonts w:ascii="Calibri" w:hAnsi="Calibri"/>
                <w:color w:val="1F2937"/>
                <w:sz w:val="18"/>
              </w:rPr>
              <w:t>cors</w:t>
            </w:r>
          </w:p>
        </w:tc>
        <w:tc>
          <w:tcPr>
            <w:tcW w:type="dxa" w:w="1152"/>
            <w:shd w:fill="FFFFFF"/>
            <w:tcMar>
              <w:top w:w="100" w:type="dxa"/>
              <w:bottom w:w="100" w:type="dxa"/>
              <w:left w:w="140" w:type="dxa"/>
              <w:right w:w="140" w:type="dxa"/>
            </w:tcMar>
          </w:tcPr>
          <w:p>
            <w:pPr>
              <w:spacing w:before="0" w:after="0"/>
            </w:pPr>
            <w:r>
              <w:rPr>
                <w:rFonts w:ascii="Calibri" w:hAnsi="Calibri"/>
                <w:color w:val="1F2937"/>
                <w:sz w:val="18"/>
              </w:rPr>
              <w:t>2.8+</w:t>
            </w:r>
          </w:p>
        </w:tc>
        <w:tc>
          <w:tcPr>
            <w:tcW w:type="dxa" w:w="2016"/>
            <w:shd w:fill="FFFFFF"/>
            <w:tcMar>
              <w:top w:w="100" w:type="dxa"/>
              <w:bottom w:w="100" w:type="dxa"/>
              <w:left w:w="140" w:type="dxa"/>
              <w:right w:w="140" w:type="dxa"/>
            </w:tcMar>
          </w:tcPr>
          <w:p>
            <w:pPr>
              <w:spacing w:before="0" w:after="0"/>
            </w:pPr>
            <w:r>
              <w:rPr>
                <w:rFonts w:ascii="Calibri" w:hAnsi="Calibri"/>
                <w:color w:val="1F2937"/>
                <w:sz w:val="18"/>
              </w:rPr>
              <w:t>Network Security</w:t>
            </w:r>
          </w:p>
        </w:tc>
        <w:tc>
          <w:tcPr>
            <w:tcW w:type="dxa" w:w="4032"/>
            <w:shd w:fill="FFFFFF"/>
            <w:tcMar>
              <w:top w:w="100" w:type="dxa"/>
              <w:bottom w:w="100" w:type="dxa"/>
              <w:left w:w="140" w:type="dxa"/>
              <w:right w:w="140" w:type="dxa"/>
            </w:tcMar>
          </w:tcPr>
          <w:p>
            <w:pPr>
              <w:spacing w:before="0" w:after="0"/>
            </w:pPr>
            <w:r>
              <w:rPr>
                <w:rFonts w:ascii="Calibri" w:hAnsi="Calibri"/>
                <w:color w:val="1F2937"/>
                <w:sz w:val="18"/>
              </w:rPr>
              <w:t>Cross-Origin Resource Sharing middleware enabling secure frontend communication.</w:t>
            </w:r>
          </w:p>
        </w:tc>
      </w:tr>
      <w:tr>
        <w:tc>
          <w:tcPr>
            <w:tcW w:type="dxa" w:w="2160"/>
            <w:shd w:fill="F8FAFC"/>
            <w:tcMar>
              <w:top w:w="100" w:type="dxa"/>
              <w:bottom w:w="100" w:type="dxa"/>
              <w:left w:w="140" w:type="dxa"/>
              <w:right w:w="140" w:type="dxa"/>
            </w:tcMar>
          </w:tcPr>
          <w:p>
            <w:pPr>
              <w:spacing w:before="0" w:after="0"/>
            </w:pPr>
            <w:r>
              <w:rPr>
                <w:rFonts w:ascii="Calibri" w:hAnsi="Calibri"/>
                <w:color w:val="1F2937"/>
                <w:sz w:val="18"/>
              </w:rPr>
              <w:t>bullmq</w:t>
            </w:r>
          </w:p>
        </w:tc>
        <w:tc>
          <w:tcPr>
            <w:tcW w:type="dxa" w:w="1152"/>
            <w:shd w:fill="F8FAFC"/>
            <w:tcMar>
              <w:top w:w="100" w:type="dxa"/>
              <w:bottom w:w="100" w:type="dxa"/>
              <w:left w:w="140" w:type="dxa"/>
              <w:right w:w="140" w:type="dxa"/>
            </w:tcMar>
          </w:tcPr>
          <w:p>
            <w:pPr>
              <w:spacing w:before="0" w:after="0"/>
            </w:pPr>
            <w:r>
              <w:rPr>
                <w:rFonts w:ascii="Calibri" w:hAnsi="Calibri"/>
                <w:color w:val="1F2937"/>
                <w:sz w:val="18"/>
              </w:rPr>
              <w:t>5.1+</w:t>
            </w:r>
          </w:p>
        </w:tc>
        <w:tc>
          <w:tcPr>
            <w:tcW w:type="dxa" w:w="2016"/>
            <w:shd w:fill="F8FAFC"/>
            <w:tcMar>
              <w:top w:w="100" w:type="dxa"/>
              <w:bottom w:w="100" w:type="dxa"/>
              <w:left w:w="140" w:type="dxa"/>
              <w:right w:w="140" w:type="dxa"/>
            </w:tcMar>
          </w:tcPr>
          <w:p>
            <w:pPr>
              <w:spacing w:before="0" w:after="0"/>
            </w:pPr>
            <w:r>
              <w:rPr>
                <w:rFonts w:ascii="Calibri" w:hAnsi="Calibri"/>
                <w:color w:val="1F2937"/>
                <w:sz w:val="18"/>
              </w:rPr>
              <w:t>Job Queue</w:t>
            </w:r>
          </w:p>
        </w:tc>
        <w:tc>
          <w:tcPr>
            <w:tcW w:type="dxa" w:w="4032"/>
            <w:shd w:fill="F8FAFC"/>
            <w:tcMar>
              <w:top w:w="100" w:type="dxa"/>
              <w:bottom w:w="100" w:type="dxa"/>
              <w:left w:w="140" w:type="dxa"/>
              <w:right w:w="140" w:type="dxa"/>
            </w:tcMar>
          </w:tcPr>
          <w:p>
            <w:pPr>
              <w:spacing w:before="0" w:after="0"/>
            </w:pPr>
            <w:r>
              <w:rPr>
                <w:rFonts w:ascii="Calibri" w:hAnsi="Calibri"/>
                <w:color w:val="1F2937"/>
                <w:sz w:val="18"/>
              </w:rPr>
              <w:t>Redis-backed queue for SLA countdown timers and scheduled notification delivery.</w:t>
            </w:r>
          </w:p>
        </w:tc>
      </w:tr>
      <w:tr>
        <w:tc>
          <w:tcPr>
            <w:tcW w:type="dxa" w:w="2160"/>
            <w:shd w:fill="FFFFFF"/>
            <w:tcMar>
              <w:top w:w="100" w:type="dxa"/>
              <w:bottom w:w="100" w:type="dxa"/>
              <w:left w:w="140" w:type="dxa"/>
              <w:right w:w="140" w:type="dxa"/>
            </w:tcMar>
          </w:tcPr>
          <w:p>
            <w:pPr>
              <w:spacing w:before="0" w:after="0"/>
            </w:pPr>
            <w:r>
              <w:rPr>
                <w:rFonts w:ascii="Calibri" w:hAnsi="Calibri"/>
                <w:color w:val="1F2937"/>
                <w:sz w:val="18"/>
              </w:rPr>
              <w:t>typescript</w:t>
            </w:r>
          </w:p>
        </w:tc>
        <w:tc>
          <w:tcPr>
            <w:tcW w:type="dxa" w:w="1152"/>
            <w:shd w:fill="FFFFFF"/>
            <w:tcMar>
              <w:top w:w="100" w:type="dxa"/>
              <w:bottom w:w="100" w:type="dxa"/>
              <w:left w:w="140" w:type="dxa"/>
              <w:right w:w="140" w:type="dxa"/>
            </w:tcMar>
          </w:tcPr>
          <w:p>
            <w:pPr>
              <w:spacing w:before="0" w:after="0"/>
            </w:pPr>
            <w:r>
              <w:rPr>
                <w:rFonts w:ascii="Calibri" w:hAnsi="Calibri"/>
                <w:color w:val="1F2937"/>
                <w:sz w:val="18"/>
              </w:rPr>
              <w:t>5.2+</w:t>
            </w:r>
          </w:p>
        </w:tc>
        <w:tc>
          <w:tcPr>
            <w:tcW w:type="dxa" w:w="2016"/>
            <w:shd w:fill="FFFFFF"/>
            <w:tcMar>
              <w:top w:w="100" w:type="dxa"/>
              <w:bottom w:w="100" w:type="dxa"/>
              <w:left w:w="140" w:type="dxa"/>
              <w:right w:w="140" w:type="dxa"/>
            </w:tcMar>
          </w:tcPr>
          <w:p>
            <w:pPr>
              <w:spacing w:before="0" w:after="0"/>
            </w:pPr>
            <w:r>
              <w:rPr>
                <w:rFonts w:ascii="Calibri" w:hAnsi="Calibri"/>
                <w:color w:val="1F2937"/>
                <w:sz w:val="18"/>
              </w:rPr>
              <w:t>Type Safety</w:t>
            </w:r>
          </w:p>
        </w:tc>
        <w:tc>
          <w:tcPr>
            <w:tcW w:type="dxa" w:w="4032"/>
            <w:shd w:fill="FFFFFF"/>
            <w:tcMar>
              <w:top w:w="100" w:type="dxa"/>
              <w:bottom w:w="100" w:type="dxa"/>
              <w:left w:w="140" w:type="dxa"/>
              <w:right w:w="140" w:type="dxa"/>
            </w:tcMar>
          </w:tcPr>
          <w:p>
            <w:pPr>
              <w:spacing w:before="0" w:after="0"/>
            </w:pPr>
            <w:r>
              <w:rPr>
                <w:rFonts w:ascii="Calibri" w:hAnsi="Calibri"/>
                <w:color w:val="1F2937"/>
                <w:sz w:val="18"/>
              </w:rPr>
              <w:t>Strict type checking across server data models, controllers, and interfaces.</w:t>
            </w:r>
          </w:p>
        </w:tc>
      </w:tr>
    </w:tbl>
    <w:p>
      <w:pPr>
        <w:spacing w:after="160"/>
      </w:pPr>
    </w:p>
    <w:p>
      <w:pPr>
        <w:pStyle w:val="Heading2"/>
        <w:keepNext/>
        <w:spacing w:before="280" w:after="80"/>
      </w:pPr>
      <w:r>
        <w:rPr>
          <w:rFonts w:ascii="Calibri" w:hAnsi="Calibri"/>
          <w:b/>
          <w:color w:val="2563EB"/>
          <w:sz w:val="28"/>
        </w:rPr>
        <w:t>4.3 Next.js &amp; Frontend Web Dependencies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340"/>
        <w:gridCol w:w="2340"/>
        <w:gridCol w:w="2340"/>
        <w:gridCol w:w="2340"/>
      </w:tblGrid>
      <w:tr>
        <w:tc>
          <w:tcPr>
            <w:tcW w:type="dxa" w:w="2160"/>
            <w:shd w:fill="1E3A8A"/>
            <w:tcMar>
              <w:top w:w="120" w:type="dxa"/>
              <w:bottom w:w="120" w:type="dxa"/>
              <w:left w:w="140" w:type="dxa"/>
              <w:right w:w="140" w:type="dxa"/>
            </w:tcMar>
          </w:tcPr>
          <w:p>
            <w:pPr>
              <w:spacing w:before="0" w:after="0"/>
            </w:pPr>
            <w:r>
              <w:rPr>
                <w:rFonts w:ascii="Calibri" w:hAnsi="Calibri"/>
                <w:b/>
                <w:color w:val="FFFFFF"/>
                <w:sz w:val="19"/>
              </w:rPr>
              <w:t>Package Name</w:t>
            </w:r>
          </w:p>
        </w:tc>
        <w:tc>
          <w:tcPr>
            <w:tcW w:type="dxa" w:w="1152"/>
            <w:shd w:fill="1E3A8A"/>
            <w:tcMar>
              <w:top w:w="120" w:type="dxa"/>
              <w:bottom w:w="120" w:type="dxa"/>
              <w:left w:w="140" w:type="dxa"/>
              <w:right w:w="140" w:type="dxa"/>
            </w:tcMar>
          </w:tcPr>
          <w:p>
            <w:pPr>
              <w:spacing w:before="0" w:after="0"/>
            </w:pPr>
            <w:r>
              <w:rPr>
                <w:rFonts w:ascii="Calibri" w:hAnsi="Calibri"/>
                <w:b/>
                <w:color w:val="FFFFFF"/>
                <w:sz w:val="19"/>
              </w:rPr>
              <w:t>Version</w:t>
            </w:r>
          </w:p>
        </w:tc>
        <w:tc>
          <w:tcPr>
            <w:tcW w:type="dxa" w:w="2016"/>
            <w:shd w:fill="1E3A8A"/>
            <w:tcMar>
              <w:top w:w="120" w:type="dxa"/>
              <w:bottom w:w="120" w:type="dxa"/>
              <w:left w:w="140" w:type="dxa"/>
              <w:right w:w="140" w:type="dxa"/>
            </w:tcMar>
          </w:tcPr>
          <w:p>
            <w:pPr>
              <w:spacing w:before="0" w:after="0"/>
            </w:pPr>
            <w:r>
              <w:rPr>
                <w:rFonts w:ascii="Calibri" w:hAnsi="Calibri"/>
                <w:b/>
                <w:color w:val="FFFFFF"/>
                <w:sz w:val="19"/>
              </w:rPr>
              <w:t>Scope / Component</w:t>
            </w:r>
          </w:p>
        </w:tc>
        <w:tc>
          <w:tcPr>
            <w:tcW w:type="dxa" w:w="4032"/>
            <w:shd w:fill="1E3A8A"/>
            <w:tcMar>
              <w:top w:w="120" w:type="dxa"/>
              <w:bottom w:w="120" w:type="dxa"/>
              <w:left w:w="140" w:type="dxa"/>
              <w:right w:w="140" w:type="dxa"/>
            </w:tcMar>
          </w:tcPr>
          <w:p>
            <w:pPr>
              <w:spacing w:before="0" w:after="0"/>
            </w:pPr>
            <w:r>
              <w:rPr>
                <w:rFonts w:ascii="Calibri" w:hAnsi="Calibri"/>
                <w:b/>
                <w:color w:val="FFFFFF"/>
                <w:sz w:val="19"/>
              </w:rPr>
              <w:t>Role &amp; Functional Description</w:t>
            </w:r>
          </w:p>
        </w:tc>
      </w:tr>
      <w:tr>
        <w:tc>
          <w:tcPr>
            <w:tcW w:type="dxa" w:w="2160"/>
            <w:shd w:fill="FFFFFF"/>
            <w:tcMar>
              <w:top w:w="100" w:type="dxa"/>
              <w:bottom w:w="100" w:type="dxa"/>
              <w:left w:w="140" w:type="dxa"/>
              <w:right w:w="140" w:type="dxa"/>
            </w:tcMar>
          </w:tcPr>
          <w:p>
            <w:pPr>
              <w:spacing w:before="0" w:after="0"/>
            </w:pPr>
            <w:r>
              <w:rPr>
                <w:rFonts w:ascii="Calibri" w:hAnsi="Calibri"/>
                <w:color w:val="1F2937"/>
                <w:sz w:val="18"/>
              </w:rPr>
              <w:t>next</w:t>
            </w:r>
          </w:p>
        </w:tc>
        <w:tc>
          <w:tcPr>
            <w:tcW w:type="dxa" w:w="1152"/>
            <w:shd w:fill="FFFFFF"/>
            <w:tcMar>
              <w:top w:w="100" w:type="dxa"/>
              <w:bottom w:w="100" w:type="dxa"/>
              <w:left w:w="140" w:type="dxa"/>
              <w:right w:w="140" w:type="dxa"/>
            </w:tcMar>
          </w:tcPr>
          <w:p>
            <w:pPr>
              <w:spacing w:before="0" w:after="0"/>
            </w:pPr>
            <w:r>
              <w:rPr>
                <w:rFonts w:ascii="Calibri" w:hAnsi="Calibri"/>
                <w:color w:val="1F2937"/>
                <w:sz w:val="18"/>
              </w:rPr>
              <w:t>14.2+</w:t>
            </w:r>
          </w:p>
        </w:tc>
        <w:tc>
          <w:tcPr>
            <w:tcW w:type="dxa" w:w="2016"/>
            <w:shd w:fill="FFFFFF"/>
            <w:tcMar>
              <w:top w:w="100" w:type="dxa"/>
              <w:bottom w:w="100" w:type="dxa"/>
              <w:left w:w="140" w:type="dxa"/>
              <w:right w:w="140" w:type="dxa"/>
            </w:tcMar>
          </w:tcPr>
          <w:p>
            <w:pPr>
              <w:spacing w:before="0" w:after="0"/>
            </w:pPr>
            <w:r>
              <w:rPr>
                <w:rFonts w:ascii="Calibri" w:hAnsi="Calibri"/>
                <w:color w:val="1F2937"/>
                <w:sz w:val="18"/>
              </w:rPr>
              <w:t>Web Framework</w:t>
            </w:r>
          </w:p>
        </w:tc>
        <w:tc>
          <w:tcPr>
            <w:tcW w:type="dxa" w:w="4032"/>
            <w:shd w:fill="FFFFFF"/>
            <w:tcMar>
              <w:top w:w="100" w:type="dxa"/>
              <w:bottom w:w="100" w:type="dxa"/>
              <w:left w:w="140" w:type="dxa"/>
              <w:right w:w="140" w:type="dxa"/>
            </w:tcMar>
          </w:tcPr>
          <w:p>
            <w:pPr>
              <w:spacing w:before="0" w:after="0"/>
            </w:pPr>
            <w:r>
              <w:rPr>
                <w:rFonts w:ascii="Calibri" w:hAnsi="Calibri"/>
                <w:color w:val="1F2937"/>
                <w:sz w:val="18"/>
              </w:rPr>
              <w:t>React production framework with App Router, server rendering, and API routes.</w:t>
            </w:r>
          </w:p>
        </w:tc>
      </w:tr>
      <w:tr>
        <w:tc>
          <w:tcPr>
            <w:tcW w:type="dxa" w:w="2160"/>
            <w:shd w:fill="F8FAFC"/>
            <w:tcMar>
              <w:top w:w="100" w:type="dxa"/>
              <w:bottom w:w="100" w:type="dxa"/>
              <w:left w:w="140" w:type="dxa"/>
              <w:right w:w="140" w:type="dxa"/>
            </w:tcMar>
          </w:tcPr>
          <w:p>
            <w:pPr>
              <w:spacing w:before="0" w:after="0"/>
            </w:pPr>
            <w:r>
              <w:rPr>
                <w:rFonts w:ascii="Calibri" w:hAnsi="Calibri"/>
                <w:color w:val="1F2937"/>
                <w:sz w:val="18"/>
              </w:rPr>
              <w:t>react &amp; react-dom</w:t>
            </w:r>
          </w:p>
        </w:tc>
        <w:tc>
          <w:tcPr>
            <w:tcW w:type="dxa" w:w="1152"/>
            <w:shd w:fill="F8FAFC"/>
            <w:tcMar>
              <w:top w:w="100" w:type="dxa"/>
              <w:bottom w:w="100" w:type="dxa"/>
              <w:left w:w="140" w:type="dxa"/>
              <w:right w:w="140" w:type="dxa"/>
            </w:tcMar>
          </w:tcPr>
          <w:p>
            <w:pPr>
              <w:spacing w:before="0" w:after="0"/>
            </w:pPr>
            <w:r>
              <w:rPr>
                <w:rFonts w:ascii="Calibri" w:hAnsi="Calibri"/>
                <w:color w:val="1F2937"/>
                <w:sz w:val="18"/>
              </w:rPr>
              <w:t>18.3+</w:t>
            </w:r>
          </w:p>
        </w:tc>
        <w:tc>
          <w:tcPr>
            <w:tcW w:type="dxa" w:w="2016"/>
            <w:shd w:fill="F8FAFC"/>
            <w:tcMar>
              <w:top w:w="100" w:type="dxa"/>
              <w:bottom w:w="100" w:type="dxa"/>
              <w:left w:w="140" w:type="dxa"/>
              <w:right w:w="140" w:type="dxa"/>
            </w:tcMar>
          </w:tcPr>
          <w:p>
            <w:pPr>
              <w:spacing w:before="0" w:after="0"/>
            </w:pPr>
            <w:r>
              <w:rPr>
                <w:rFonts w:ascii="Calibri" w:hAnsi="Calibri"/>
                <w:color w:val="1F2937"/>
                <w:sz w:val="18"/>
              </w:rPr>
              <w:t>UI Library</w:t>
            </w:r>
          </w:p>
        </w:tc>
        <w:tc>
          <w:tcPr>
            <w:tcW w:type="dxa" w:w="4032"/>
            <w:shd w:fill="F8FAFC"/>
            <w:tcMar>
              <w:top w:w="100" w:type="dxa"/>
              <w:bottom w:w="100" w:type="dxa"/>
              <w:left w:w="140" w:type="dxa"/>
              <w:right w:w="140" w:type="dxa"/>
            </w:tcMar>
          </w:tcPr>
          <w:p>
            <w:pPr>
              <w:spacing w:before="0" w:after="0"/>
            </w:pPr>
            <w:r>
              <w:rPr>
                <w:rFonts w:ascii="Calibri" w:hAnsi="Calibri"/>
                <w:color w:val="1F2937"/>
                <w:sz w:val="18"/>
              </w:rPr>
              <w:t>Component-based declarative user interface rendering engine.</w:t>
            </w:r>
          </w:p>
        </w:tc>
      </w:tr>
      <w:tr>
        <w:tc>
          <w:tcPr>
            <w:tcW w:type="dxa" w:w="2160"/>
            <w:shd w:fill="FFFFFF"/>
            <w:tcMar>
              <w:top w:w="100" w:type="dxa"/>
              <w:bottom w:w="100" w:type="dxa"/>
              <w:left w:w="140" w:type="dxa"/>
              <w:right w:w="140" w:type="dxa"/>
            </w:tcMar>
          </w:tcPr>
          <w:p>
            <w:pPr>
              <w:spacing w:before="0" w:after="0"/>
            </w:pPr>
            <w:r>
              <w:rPr>
                <w:rFonts w:ascii="Calibri" w:hAnsi="Calibri"/>
                <w:color w:val="1F2937"/>
                <w:sz w:val="18"/>
              </w:rPr>
              <w:t>tailwindcss</w:t>
            </w:r>
          </w:p>
        </w:tc>
        <w:tc>
          <w:tcPr>
            <w:tcW w:type="dxa" w:w="1152"/>
            <w:shd w:fill="FFFFFF"/>
            <w:tcMar>
              <w:top w:w="100" w:type="dxa"/>
              <w:bottom w:w="100" w:type="dxa"/>
              <w:left w:w="140" w:type="dxa"/>
              <w:right w:w="140" w:type="dxa"/>
            </w:tcMar>
          </w:tcPr>
          <w:p>
            <w:pPr>
              <w:spacing w:before="0" w:after="0"/>
            </w:pPr>
            <w:r>
              <w:rPr>
                <w:rFonts w:ascii="Calibri" w:hAnsi="Calibri"/>
                <w:color w:val="1F2937"/>
                <w:sz w:val="18"/>
              </w:rPr>
              <w:t>3.4+</w:t>
            </w:r>
          </w:p>
        </w:tc>
        <w:tc>
          <w:tcPr>
            <w:tcW w:type="dxa" w:w="2016"/>
            <w:shd w:fill="FFFFFF"/>
            <w:tcMar>
              <w:top w:w="100" w:type="dxa"/>
              <w:bottom w:w="100" w:type="dxa"/>
              <w:left w:w="140" w:type="dxa"/>
              <w:right w:w="140" w:type="dxa"/>
            </w:tcMar>
          </w:tcPr>
          <w:p>
            <w:pPr>
              <w:spacing w:before="0" w:after="0"/>
            </w:pPr>
            <w:r>
              <w:rPr>
                <w:rFonts w:ascii="Calibri" w:hAnsi="Calibri"/>
                <w:color w:val="1F2937"/>
                <w:sz w:val="18"/>
              </w:rPr>
              <w:t>Styling Engine</w:t>
            </w:r>
          </w:p>
        </w:tc>
        <w:tc>
          <w:tcPr>
            <w:tcW w:type="dxa" w:w="4032"/>
            <w:shd w:fill="FFFFFF"/>
            <w:tcMar>
              <w:top w:w="100" w:type="dxa"/>
              <w:bottom w:w="100" w:type="dxa"/>
              <w:left w:w="140" w:type="dxa"/>
              <w:right w:w="140" w:type="dxa"/>
            </w:tcMar>
          </w:tcPr>
          <w:p>
            <w:pPr>
              <w:spacing w:before="0" w:after="0"/>
            </w:pPr>
            <w:r>
              <w:rPr>
                <w:rFonts w:ascii="Calibri" w:hAnsi="Calibri"/>
                <w:color w:val="1F2937"/>
                <w:sz w:val="18"/>
              </w:rPr>
              <w:t>Utility-first CSS framework providing design system tokens and responsive layouts.</w:t>
            </w:r>
          </w:p>
        </w:tc>
      </w:tr>
      <w:tr>
        <w:tc>
          <w:tcPr>
            <w:tcW w:type="dxa" w:w="2160"/>
            <w:shd w:fill="F8FAFC"/>
            <w:tcMar>
              <w:top w:w="100" w:type="dxa"/>
              <w:bottom w:w="100" w:type="dxa"/>
              <w:left w:w="140" w:type="dxa"/>
              <w:right w:w="140" w:type="dxa"/>
            </w:tcMar>
          </w:tcPr>
          <w:p>
            <w:pPr>
              <w:spacing w:before="0" w:after="0"/>
            </w:pPr>
            <w:r>
              <w:rPr>
                <w:rFonts w:ascii="Calibri" w:hAnsi="Calibri"/>
                <w:color w:val="1F2937"/>
                <w:sz w:val="18"/>
              </w:rPr>
              <w:t>framer-motion</w:t>
            </w:r>
          </w:p>
        </w:tc>
        <w:tc>
          <w:tcPr>
            <w:tcW w:type="dxa" w:w="1152"/>
            <w:shd w:fill="F8FAFC"/>
            <w:tcMar>
              <w:top w:w="100" w:type="dxa"/>
              <w:bottom w:w="100" w:type="dxa"/>
              <w:left w:w="140" w:type="dxa"/>
              <w:right w:w="140" w:type="dxa"/>
            </w:tcMar>
          </w:tcPr>
          <w:p>
            <w:pPr>
              <w:spacing w:before="0" w:after="0"/>
            </w:pPr>
            <w:r>
              <w:rPr>
                <w:rFonts w:ascii="Calibri" w:hAnsi="Calibri"/>
                <w:color w:val="1F2937"/>
                <w:sz w:val="18"/>
              </w:rPr>
              <w:t>11.0+</w:t>
            </w:r>
          </w:p>
        </w:tc>
        <w:tc>
          <w:tcPr>
            <w:tcW w:type="dxa" w:w="2016"/>
            <w:shd w:fill="F8FAFC"/>
            <w:tcMar>
              <w:top w:w="100" w:type="dxa"/>
              <w:bottom w:w="100" w:type="dxa"/>
              <w:left w:w="140" w:type="dxa"/>
              <w:right w:w="140" w:type="dxa"/>
            </w:tcMar>
          </w:tcPr>
          <w:p>
            <w:pPr>
              <w:spacing w:before="0" w:after="0"/>
            </w:pPr>
            <w:r>
              <w:rPr>
                <w:rFonts w:ascii="Calibri" w:hAnsi="Calibri"/>
                <w:color w:val="1F2937"/>
                <w:sz w:val="18"/>
              </w:rPr>
              <w:t>Micro-Interactions</w:t>
            </w:r>
          </w:p>
        </w:tc>
        <w:tc>
          <w:tcPr>
            <w:tcW w:type="dxa" w:w="4032"/>
            <w:shd w:fill="F8FAFC"/>
            <w:tcMar>
              <w:top w:w="100" w:type="dxa"/>
              <w:bottom w:w="100" w:type="dxa"/>
              <w:left w:w="140" w:type="dxa"/>
              <w:right w:w="140" w:type="dxa"/>
            </w:tcMar>
          </w:tcPr>
          <w:p>
            <w:pPr>
              <w:spacing w:before="0" w:after="0"/>
            </w:pPr>
            <w:r>
              <w:rPr>
                <w:rFonts w:ascii="Calibri" w:hAnsi="Calibri"/>
                <w:color w:val="1F2937"/>
                <w:sz w:val="18"/>
              </w:rPr>
              <w:t>Fluid animation engine for modal transitions, drawer slide-outs, and Copilot pill.</w:t>
            </w:r>
          </w:p>
        </w:tc>
      </w:tr>
      <w:tr>
        <w:tc>
          <w:tcPr>
            <w:tcW w:type="dxa" w:w="2160"/>
            <w:shd w:fill="FFFFFF"/>
            <w:tcMar>
              <w:top w:w="100" w:type="dxa"/>
              <w:bottom w:w="100" w:type="dxa"/>
              <w:left w:w="140" w:type="dxa"/>
              <w:right w:w="140" w:type="dxa"/>
            </w:tcMar>
          </w:tcPr>
          <w:p>
            <w:pPr>
              <w:spacing w:before="0" w:after="0"/>
            </w:pPr>
            <w:r>
              <w:rPr>
                <w:rFonts w:ascii="Calibri" w:hAnsi="Calibri"/>
                <w:color w:val="1F2937"/>
                <w:sz w:val="18"/>
              </w:rPr>
              <w:t>lucide-react</w:t>
            </w:r>
          </w:p>
        </w:tc>
        <w:tc>
          <w:tcPr>
            <w:tcW w:type="dxa" w:w="1152"/>
            <w:shd w:fill="FFFFFF"/>
            <w:tcMar>
              <w:top w:w="100" w:type="dxa"/>
              <w:bottom w:w="100" w:type="dxa"/>
              <w:left w:w="140" w:type="dxa"/>
              <w:right w:w="140" w:type="dxa"/>
            </w:tcMar>
          </w:tcPr>
          <w:p>
            <w:pPr>
              <w:spacing w:before="0" w:after="0"/>
            </w:pPr>
            <w:r>
              <w:rPr>
                <w:rFonts w:ascii="Calibri" w:hAnsi="Calibri"/>
                <w:color w:val="1F2937"/>
                <w:sz w:val="18"/>
              </w:rPr>
              <w:t>0.370+</w:t>
            </w:r>
          </w:p>
        </w:tc>
        <w:tc>
          <w:tcPr>
            <w:tcW w:type="dxa" w:w="2016"/>
            <w:shd w:fill="FFFFFF"/>
            <w:tcMar>
              <w:top w:w="100" w:type="dxa"/>
              <w:bottom w:w="100" w:type="dxa"/>
              <w:left w:w="140" w:type="dxa"/>
              <w:right w:w="140" w:type="dxa"/>
            </w:tcMar>
          </w:tcPr>
          <w:p>
            <w:pPr>
              <w:spacing w:before="0" w:after="0"/>
            </w:pPr>
            <w:r>
              <w:rPr>
                <w:rFonts w:ascii="Calibri" w:hAnsi="Calibri"/>
                <w:color w:val="1F2937"/>
                <w:sz w:val="18"/>
              </w:rPr>
              <w:t>Iconography</w:t>
            </w:r>
          </w:p>
        </w:tc>
        <w:tc>
          <w:tcPr>
            <w:tcW w:type="dxa" w:w="4032"/>
            <w:shd w:fill="FFFFFF"/>
            <w:tcMar>
              <w:top w:w="100" w:type="dxa"/>
              <w:bottom w:w="100" w:type="dxa"/>
              <w:left w:w="140" w:type="dxa"/>
              <w:right w:w="140" w:type="dxa"/>
            </w:tcMar>
          </w:tcPr>
          <w:p>
            <w:pPr>
              <w:spacing w:before="0" w:after="0"/>
            </w:pPr>
            <w:r>
              <w:rPr>
                <w:rFonts w:ascii="Calibri" w:hAnsi="Calibri"/>
                <w:color w:val="1F2937"/>
                <w:sz w:val="18"/>
              </w:rPr>
              <w:t>Crisp, accessible SVG icon set representing data status, warnings, and metrics.</w:t>
            </w:r>
          </w:p>
        </w:tc>
      </w:tr>
      <w:tr>
        <w:tc>
          <w:tcPr>
            <w:tcW w:type="dxa" w:w="2160"/>
            <w:shd w:fill="F8FAFC"/>
            <w:tcMar>
              <w:top w:w="100" w:type="dxa"/>
              <w:bottom w:w="100" w:type="dxa"/>
              <w:left w:w="140" w:type="dxa"/>
              <w:right w:w="140" w:type="dxa"/>
            </w:tcMar>
          </w:tcPr>
          <w:p>
            <w:pPr>
              <w:spacing w:before="0" w:after="0"/>
            </w:pPr>
            <w:r>
              <w:rPr>
                <w:rFonts w:ascii="Calibri" w:hAnsi="Calibri"/>
                <w:color w:val="1F2937"/>
                <w:sz w:val="18"/>
              </w:rPr>
              <w:t>recharts</w:t>
            </w:r>
          </w:p>
        </w:tc>
        <w:tc>
          <w:tcPr>
            <w:tcW w:type="dxa" w:w="1152"/>
            <w:shd w:fill="F8FAFC"/>
            <w:tcMar>
              <w:top w:w="100" w:type="dxa"/>
              <w:bottom w:w="100" w:type="dxa"/>
              <w:left w:w="140" w:type="dxa"/>
              <w:right w:w="140" w:type="dxa"/>
            </w:tcMar>
          </w:tcPr>
          <w:p>
            <w:pPr>
              <w:spacing w:before="0" w:after="0"/>
            </w:pPr>
            <w:r>
              <w:rPr>
                <w:rFonts w:ascii="Calibri" w:hAnsi="Calibri"/>
                <w:color w:val="1F2937"/>
                <w:sz w:val="18"/>
              </w:rPr>
              <w:t>2.12+</w:t>
            </w:r>
          </w:p>
        </w:tc>
        <w:tc>
          <w:tcPr>
            <w:tcW w:type="dxa" w:w="2016"/>
            <w:shd w:fill="F8FAFC"/>
            <w:tcMar>
              <w:top w:w="100" w:type="dxa"/>
              <w:bottom w:w="100" w:type="dxa"/>
              <w:left w:w="140" w:type="dxa"/>
              <w:right w:w="140" w:type="dxa"/>
            </w:tcMar>
          </w:tcPr>
          <w:p>
            <w:pPr>
              <w:spacing w:before="0" w:after="0"/>
            </w:pPr>
            <w:r>
              <w:rPr>
                <w:rFonts w:ascii="Calibri" w:hAnsi="Calibri"/>
                <w:color w:val="1F2937"/>
                <w:sz w:val="18"/>
              </w:rPr>
              <w:t>Data Visualization</w:t>
            </w:r>
          </w:p>
        </w:tc>
        <w:tc>
          <w:tcPr>
            <w:tcW w:type="dxa" w:w="4032"/>
            <w:shd w:fill="F8FAFC"/>
            <w:tcMar>
              <w:top w:w="100" w:type="dxa"/>
              <w:bottom w:w="100" w:type="dxa"/>
              <w:left w:w="140" w:type="dxa"/>
              <w:right w:w="140" w:type="dxa"/>
            </w:tcMar>
          </w:tcPr>
          <w:p>
            <w:pPr>
              <w:spacing w:before="0" w:after="0"/>
            </w:pPr>
            <w:r>
              <w:rPr>
                <w:rFonts w:ascii="Calibri" w:hAnsi="Calibri"/>
                <w:color w:val="1F2937"/>
                <w:sz w:val="18"/>
              </w:rPr>
              <w:t>Responsive SVG charts for fund utilization curves, risk trends, and categories.</w:t>
            </w:r>
          </w:p>
        </w:tc>
      </w:tr>
    </w:tbl>
    <w:p>
      <w:pPr>
        <w:spacing w:after="160"/>
      </w:pPr>
    </w:p>
    <w:p>
      <w:pPr>
        <w:pStyle w:val="Heading1"/>
        <w:keepNext/>
        <w:spacing w:before="360" w:after="120"/>
      </w:pPr>
      <w:r>
        <w:rPr>
          <w:rFonts w:ascii="Calibri" w:hAnsi="Calibri"/>
          <w:b/>
          <w:color w:val="1E3A8A"/>
          <w:sz w:val="36"/>
        </w:rPr>
        <w:t>5. Design System, Theme Architecture &amp; Aesthetics</w:t>
      </w:r>
    </w:p>
    <w:p>
      <w:pPr>
        <w:spacing w:before="0" w:after="120" w:line="276" w:lineRule="auto"/>
      </w:pPr>
      <w:r>
        <w:rPr>
          <w:rFonts w:ascii="Calibri" w:hAnsi="Calibri"/>
          <w:color w:val="374151"/>
          <w:sz w:val="21"/>
        </w:rPr>
        <w:t>The interface follows a 'Content-First, High-Precision' aesthetic designed specifically for government accountability, policy analysts, and citizens. Following strict user requirements, the platform eliminated blurry glassmorphism in favor of clean, crisp solid light backgrounds (#f9fafb / #ffffff) paired with razor-sharp borders (#e5e7eb) and high-contrast typography.</w:t>
      </w:r>
    </w:p>
    <w:p>
      <w:pPr>
        <w:spacing w:before="0" w:after="120" w:line="276" w:lineRule="auto"/>
      </w:pPr>
      <w:r>
        <w:rPr>
          <w:rFonts w:ascii="Calibri" w:hAnsi="Calibri"/>
          <w:b/>
          <w:color w:val="111827"/>
          <w:sz w:val="21"/>
        </w:rPr>
        <w:t xml:space="preserve">Vibrant Semantic Accent Palette: </w:t>
      </w:r>
      <w:r>
        <w:rPr>
          <w:rFonts w:ascii="Calibri" w:hAnsi="Calibri"/>
          <w:color w:val="374151"/>
          <w:sz w:val="21"/>
        </w:rPr>
        <w:t>To prevent monochromatic fatigue while maintaining official dignity, the UI strategically integrates five high-contrast semantic accents:</w:t>
      </w:r>
    </w:p>
    <w:p>
      <w:pPr>
        <w:pStyle w:val="ListBullet"/>
        <w:spacing w:before="20" w:after="60" w:line="276" w:lineRule="auto"/>
      </w:pPr>
      <w:r>
        <w:rPr>
          <w:rFonts w:ascii="Calibri" w:hAnsi="Calibri"/>
          <w:b/>
          <w:color w:val="1F2937"/>
          <w:sz w:val="20"/>
        </w:rPr>
        <w:t xml:space="preserve">Royal Blue &amp; Indigo (#2563eb / #4f46e5): </w:t>
      </w:r>
      <w:r>
        <w:rPr>
          <w:rFonts w:ascii="Calibri" w:hAnsi="Calibri"/>
          <w:color w:val="4B5563"/>
          <w:sz w:val="20"/>
        </w:rPr>
        <w:t>Used for primary brand identity, active navigation tabs, action buttons, and standard trend lines.</w:t>
      </w:r>
    </w:p>
    <w:p>
      <w:pPr>
        <w:pStyle w:val="ListBullet"/>
        <w:spacing w:before="20" w:after="60" w:line="276" w:lineRule="auto"/>
      </w:pPr>
      <w:r>
        <w:rPr>
          <w:rFonts w:ascii="Calibri" w:hAnsi="Calibri"/>
          <w:b/>
          <w:color w:val="1F2937"/>
          <w:sz w:val="20"/>
        </w:rPr>
        <w:t xml:space="preserve">Electric Violet (#7c3aed): </w:t>
      </w:r>
      <w:r>
        <w:rPr>
          <w:rFonts w:ascii="Calibri" w:hAnsi="Calibri"/>
          <w:color w:val="4B5563"/>
          <w:sz w:val="20"/>
        </w:rPr>
        <w:t>Reserved exclusively for AI Copilot trigger badges, Gemini RAG status indicators, and predictive model insights.</w:t>
      </w:r>
    </w:p>
    <w:p>
      <w:pPr>
        <w:pStyle w:val="ListBullet"/>
        <w:spacing w:before="20" w:after="60" w:line="276" w:lineRule="auto"/>
      </w:pPr>
      <w:r>
        <w:rPr>
          <w:rFonts w:ascii="Calibri" w:hAnsi="Calibri"/>
          <w:b/>
          <w:color w:val="1F2937"/>
          <w:sz w:val="20"/>
        </w:rPr>
        <w:t xml:space="preserve">Fresh Emerald (#10b981): </w:t>
      </w:r>
      <w:r>
        <w:rPr>
          <w:rFonts w:ascii="Calibri" w:hAnsi="Calibri"/>
          <w:color w:val="4B5563"/>
          <w:sz w:val="20"/>
        </w:rPr>
        <w:t>Designates completed works, verified geofences, positive fund utilization milestones, and resolved SLAs.</w:t>
      </w:r>
    </w:p>
    <w:p>
      <w:pPr>
        <w:pStyle w:val="ListBullet"/>
        <w:spacing w:before="20" w:after="60" w:line="276" w:lineRule="auto"/>
      </w:pPr>
      <w:r>
        <w:rPr>
          <w:rFonts w:ascii="Calibri" w:hAnsi="Calibri"/>
          <w:b/>
          <w:color w:val="1F2937"/>
          <w:sz w:val="20"/>
        </w:rPr>
        <w:t xml:space="preserve">Warm Amber (#f59e0b): </w:t>
      </w:r>
      <w:r>
        <w:rPr>
          <w:rFonts w:ascii="Calibri" w:hAnsi="Calibri"/>
          <w:color w:val="4B5563"/>
          <w:sz w:val="20"/>
        </w:rPr>
        <w:t>Highlights moderate anomalies, &lt; 24-hour SLA alerts, citizen-submitted evidence reviews, and district nudges.</w:t>
      </w:r>
    </w:p>
    <w:p>
      <w:pPr>
        <w:pStyle w:val="ListBullet"/>
        <w:spacing w:before="20" w:after="60" w:line="276" w:lineRule="auto"/>
      </w:pPr>
      <w:r>
        <w:rPr>
          <w:rFonts w:ascii="Calibri" w:hAnsi="Calibri"/>
          <w:b/>
          <w:color w:val="1F2937"/>
          <w:sz w:val="20"/>
        </w:rPr>
        <w:t xml:space="preserve">Vibrant Rose &amp; Crimson (#ef4444 / #e11d48): </w:t>
      </w:r>
      <w:r>
        <w:rPr>
          <w:rFonts w:ascii="Calibri" w:hAnsi="Calibri"/>
          <w:color w:val="4B5563"/>
          <w:sz w:val="20"/>
        </w:rPr>
        <w:t>Denotes critical risk scores (&gt;85), overdue SLAs, cartel-linked vendor tags, and split-invoicing alerts.</w:t>
      </w:r>
    </w:p>
    <w:p>
      <w:pPr>
        <w:pStyle w:val="Heading1"/>
        <w:keepNext/>
        <w:spacing w:before="360" w:after="120"/>
      </w:pPr>
      <w:r>
        <w:rPr>
          <w:rFonts w:ascii="Calibri" w:hAnsi="Calibri"/>
          <w:b/>
          <w:color w:val="1E3A8A"/>
          <w:sz w:val="36"/>
        </w:rPr>
        <w:t>6. Complete API Endpoint Reference Guide</w:t>
      </w:r>
    </w:p>
    <w:p>
      <w:pPr>
        <w:spacing w:before="0" w:after="120" w:line="276" w:lineRule="auto"/>
      </w:pPr>
      <w:r>
        <w:rPr>
          <w:rFonts w:ascii="Calibri" w:hAnsi="Calibri"/>
          <w:color w:val="374151"/>
          <w:sz w:val="21"/>
        </w:rPr>
        <w:t>The unified platform exposes 20+ specialized REST endpoints across Express and FastAPI:</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340"/>
        <w:gridCol w:w="2340"/>
        <w:gridCol w:w="2340"/>
        <w:gridCol w:w="2340"/>
      </w:tblGrid>
      <w:tr>
        <w:tc>
          <w:tcPr>
            <w:tcW w:type="dxa" w:w="2592"/>
            <w:shd w:fill="1E3A8A"/>
            <w:tcMar>
              <w:top w:w="120" w:type="dxa"/>
              <w:bottom w:w="120" w:type="dxa"/>
              <w:left w:w="140" w:type="dxa"/>
              <w:right w:w="140" w:type="dxa"/>
            </w:tcMar>
          </w:tcPr>
          <w:p>
            <w:pPr>
              <w:spacing w:before="0" w:after="0"/>
            </w:pPr>
            <w:r>
              <w:rPr>
                <w:rFonts w:ascii="Calibri" w:hAnsi="Calibri"/>
                <w:b/>
                <w:color w:val="FFFFFF"/>
                <w:sz w:val="19"/>
              </w:rPr>
              <w:t>Endpoint URL</w:t>
            </w:r>
          </w:p>
        </w:tc>
        <w:tc>
          <w:tcPr>
            <w:tcW w:type="dxa" w:w="1008"/>
            <w:shd w:fill="1E3A8A"/>
            <w:tcMar>
              <w:top w:w="120" w:type="dxa"/>
              <w:bottom w:w="120" w:type="dxa"/>
              <w:left w:w="140" w:type="dxa"/>
              <w:right w:w="140" w:type="dxa"/>
            </w:tcMar>
          </w:tcPr>
          <w:p>
            <w:pPr>
              <w:spacing w:before="0" w:after="0"/>
            </w:pPr>
            <w:r>
              <w:rPr>
                <w:rFonts w:ascii="Calibri" w:hAnsi="Calibri"/>
                <w:b/>
                <w:color w:val="FFFFFF"/>
                <w:sz w:val="19"/>
              </w:rPr>
              <w:t>Method</w:t>
            </w:r>
          </w:p>
        </w:tc>
        <w:tc>
          <w:tcPr>
            <w:tcW w:type="dxa" w:w="1872"/>
            <w:shd w:fill="1E3A8A"/>
            <w:tcMar>
              <w:top w:w="120" w:type="dxa"/>
              <w:bottom w:w="120" w:type="dxa"/>
              <w:left w:w="140" w:type="dxa"/>
              <w:right w:w="140" w:type="dxa"/>
            </w:tcMar>
          </w:tcPr>
          <w:p>
            <w:pPr>
              <w:spacing w:before="0" w:after="0"/>
            </w:pPr>
            <w:r>
              <w:rPr>
                <w:rFonts w:ascii="Calibri" w:hAnsi="Calibri"/>
                <w:b/>
                <w:color w:val="FFFFFF"/>
                <w:sz w:val="19"/>
              </w:rPr>
              <w:t>Service</w:t>
            </w:r>
          </w:p>
        </w:tc>
        <w:tc>
          <w:tcPr>
            <w:tcW w:type="dxa" w:w="3888"/>
            <w:shd w:fill="1E3A8A"/>
            <w:tcMar>
              <w:top w:w="120" w:type="dxa"/>
              <w:bottom w:w="120" w:type="dxa"/>
              <w:left w:w="140" w:type="dxa"/>
              <w:right w:w="140" w:type="dxa"/>
            </w:tcMar>
          </w:tcPr>
          <w:p>
            <w:pPr>
              <w:spacing w:before="0" w:after="0"/>
            </w:pPr>
            <w:r>
              <w:rPr>
                <w:rFonts w:ascii="Calibri" w:hAnsi="Calibri"/>
                <w:b/>
                <w:color w:val="FFFFFF"/>
                <w:sz w:val="19"/>
              </w:rPr>
              <w:t>Functional Scope</w:t>
            </w:r>
          </w:p>
        </w:tc>
      </w:tr>
      <w:tr>
        <w:tc>
          <w:tcPr>
            <w:tcW w:type="dxa" w:w="2592"/>
            <w:shd w:fill="FFFFFF"/>
            <w:tcMar>
              <w:top w:w="100" w:type="dxa"/>
              <w:bottom w:w="100" w:type="dxa"/>
              <w:left w:w="140" w:type="dxa"/>
              <w:right w:w="140" w:type="dxa"/>
            </w:tcMar>
          </w:tcPr>
          <w:p>
            <w:pPr>
              <w:spacing w:before="0" w:after="0"/>
            </w:pPr>
            <w:r>
              <w:rPr>
                <w:rFonts w:ascii="Calibri" w:hAnsi="Calibri"/>
                <w:color w:val="1F2937"/>
                <w:sz w:val="18"/>
              </w:rPr>
              <w:t>/api/auth/login</w:t>
            </w:r>
          </w:p>
        </w:tc>
        <w:tc>
          <w:tcPr>
            <w:tcW w:type="dxa" w:w="1008"/>
            <w:shd w:fill="FFFFFF"/>
            <w:tcMar>
              <w:top w:w="100" w:type="dxa"/>
              <w:bottom w:w="100" w:type="dxa"/>
              <w:left w:w="140" w:type="dxa"/>
              <w:right w:w="140" w:type="dxa"/>
            </w:tcMar>
          </w:tcPr>
          <w:p>
            <w:pPr>
              <w:spacing w:before="0" w:after="0"/>
            </w:pPr>
            <w:r>
              <w:rPr>
                <w:rFonts w:ascii="Calibri" w:hAnsi="Calibri"/>
                <w:color w:val="1F2937"/>
                <w:sz w:val="18"/>
              </w:rPr>
              <w:t>POST</w:t>
            </w:r>
          </w:p>
        </w:tc>
        <w:tc>
          <w:tcPr>
            <w:tcW w:type="dxa" w:w="1872"/>
            <w:shd w:fill="FFFFFF"/>
            <w:tcMar>
              <w:top w:w="100" w:type="dxa"/>
              <w:bottom w:w="100" w:type="dxa"/>
              <w:left w:w="140" w:type="dxa"/>
              <w:right w:w="140" w:type="dxa"/>
            </w:tcMar>
          </w:tcPr>
          <w:p>
            <w:pPr>
              <w:spacing w:before="0" w:after="0"/>
            </w:pPr>
            <w:r>
              <w:rPr>
                <w:rFonts w:ascii="Calibri" w:hAnsi="Calibri"/>
                <w:color w:val="1F2937"/>
                <w:sz w:val="18"/>
              </w:rPr>
              <w:t>Express (5000)</w:t>
            </w:r>
          </w:p>
        </w:tc>
        <w:tc>
          <w:tcPr>
            <w:tcW w:type="dxa" w:w="3888"/>
            <w:shd w:fill="FFFFFF"/>
            <w:tcMar>
              <w:top w:w="100" w:type="dxa"/>
              <w:bottom w:w="100" w:type="dxa"/>
              <w:left w:w="140" w:type="dxa"/>
              <w:right w:w="140" w:type="dxa"/>
            </w:tcMar>
          </w:tcPr>
          <w:p>
            <w:pPr>
              <w:spacing w:before="0" w:after="0"/>
            </w:pPr>
            <w:r>
              <w:rPr>
                <w:rFonts w:ascii="Calibri" w:hAnsi="Calibri"/>
                <w:color w:val="1F2937"/>
                <w:sz w:val="18"/>
              </w:rPr>
              <w:t>Authenticates user credentials, returns signed JWT token with role claims.</w:t>
            </w:r>
          </w:p>
        </w:tc>
      </w:tr>
      <w:tr>
        <w:tc>
          <w:tcPr>
            <w:tcW w:type="dxa" w:w="2592"/>
            <w:shd w:fill="F8FAFC"/>
            <w:tcMar>
              <w:top w:w="100" w:type="dxa"/>
              <w:bottom w:w="100" w:type="dxa"/>
              <w:left w:w="140" w:type="dxa"/>
              <w:right w:w="140" w:type="dxa"/>
            </w:tcMar>
          </w:tcPr>
          <w:p>
            <w:pPr>
              <w:spacing w:before="0" w:after="0"/>
            </w:pPr>
            <w:r>
              <w:rPr>
                <w:rFonts w:ascii="Calibri" w:hAnsi="Calibri"/>
                <w:color w:val="1F2937"/>
                <w:sz w:val="18"/>
              </w:rPr>
              <w:t>/api/auth/me</w:t>
            </w:r>
          </w:p>
        </w:tc>
        <w:tc>
          <w:tcPr>
            <w:tcW w:type="dxa" w:w="1008"/>
            <w:shd w:fill="F8FAFC"/>
            <w:tcMar>
              <w:top w:w="100" w:type="dxa"/>
              <w:bottom w:w="100" w:type="dxa"/>
              <w:left w:w="140" w:type="dxa"/>
              <w:right w:w="140" w:type="dxa"/>
            </w:tcMar>
          </w:tcPr>
          <w:p>
            <w:pPr>
              <w:spacing w:before="0" w:after="0"/>
            </w:pPr>
            <w:r>
              <w:rPr>
                <w:rFonts w:ascii="Calibri" w:hAnsi="Calibri"/>
                <w:color w:val="1F2937"/>
                <w:sz w:val="18"/>
              </w:rPr>
              <w:t>GET</w:t>
            </w:r>
          </w:p>
        </w:tc>
        <w:tc>
          <w:tcPr>
            <w:tcW w:type="dxa" w:w="1872"/>
            <w:shd w:fill="F8FAFC"/>
            <w:tcMar>
              <w:top w:w="100" w:type="dxa"/>
              <w:bottom w:w="100" w:type="dxa"/>
              <w:left w:w="140" w:type="dxa"/>
              <w:right w:w="140" w:type="dxa"/>
            </w:tcMar>
          </w:tcPr>
          <w:p>
            <w:pPr>
              <w:spacing w:before="0" w:after="0"/>
            </w:pPr>
            <w:r>
              <w:rPr>
                <w:rFonts w:ascii="Calibri" w:hAnsi="Calibri"/>
                <w:color w:val="1F2937"/>
                <w:sz w:val="18"/>
              </w:rPr>
              <w:t>Express (5000)</w:t>
            </w:r>
          </w:p>
        </w:tc>
        <w:tc>
          <w:tcPr>
            <w:tcW w:type="dxa" w:w="3888"/>
            <w:shd w:fill="F8FAFC"/>
            <w:tcMar>
              <w:top w:w="100" w:type="dxa"/>
              <w:bottom w:w="100" w:type="dxa"/>
              <w:left w:w="140" w:type="dxa"/>
              <w:right w:w="140" w:type="dxa"/>
            </w:tcMar>
          </w:tcPr>
          <w:p>
            <w:pPr>
              <w:spacing w:before="0" w:after="0"/>
            </w:pPr>
            <w:r>
              <w:rPr>
                <w:rFonts w:ascii="Calibri" w:hAnsi="Calibri"/>
                <w:color w:val="1F2937"/>
                <w:sz w:val="18"/>
              </w:rPr>
              <w:t>Validates active JWT token and returns current user identity &amp; role.</w:t>
            </w:r>
          </w:p>
        </w:tc>
      </w:tr>
      <w:tr>
        <w:tc>
          <w:tcPr>
            <w:tcW w:type="dxa" w:w="2592"/>
            <w:shd w:fill="FFFFFF"/>
            <w:tcMar>
              <w:top w:w="100" w:type="dxa"/>
              <w:bottom w:w="100" w:type="dxa"/>
              <w:left w:w="140" w:type="dxa"/>
              <w:right w:w="140" w:type="dxa"/>
            </w:tcMar>
          </w:tcPr>
          <w:p>
            <w:pPr>
              <w:spacing w:before="0" w:after="0"/>
            </w:pPr>
            <w:r>
              <w:rPr>
                <w:rFonts w:ascii="Calibri" w:hAnsi="Calibri"/>
                <w:color w:val="1F2937"/>
                <w:sz w:val="18"/>
              </w:rPr>
              <w:t>/api/works</w:t>
            </w:r>
          </w:p>
        </w:tc>
        <w:tc>
          <w:tcPr>
            <w:tcW w:type="dxa" w:w="1008"/>
            <w:shd w:fill="FFFFFF"/>
            <w:tcMar>
              <w:top w:w="100" w:type="dxa"/>
              <w:bottom w:w="100" w:type="dxa"/>
              <w:left w:w="140" w:type="dxa"/>
              <w:right w:w="140" w:type="dxa"/>
            </w:tcMar>
          </w:tcPr>
          <w:p>
            <w:pPr>
              <w:spacing w:before="0" w:after="0"/>
            </w:pPr>
            <w:r>
              <w:rPr>
                <w:rFonts w:ascii="Calibri" w:hAnsi="Calibri"/>
                <w:color w:val="1F2937"/>
                <w:sz w:val="18"/>
              </w:rPr>
              <w:t>GET</w:t>
            </w:r>
          </w:p>
        </w:tc>
        <w:tc>
          <w:tcPr>
            <w:tcW w:type="dxa" w:w="1872"/>
            <w:shd w:fill="FFFFFF"/>
            <w:tcMar>
              <w:top w:w="100" w:type="dxa"/>
              <w:bottom w:w="100" w:type="dxa"/>
              <w:left w:w="140" w:type="dxa"/>
              <w:right w:w="140" w:type="dxa"/>
            </w:tcMar>
          </w:tcPr>
          <w:p>
            <w:pPr>
              <w:spacing w:before="0" w:after="0"/>
            </w:pPr>
            <w:r>
              <w:rPr>
                <w:rFonts w:ascii="Calibri" w:hAnsi="Calibri"/>
                <w:color w:val="1F2937"/>
                <w:sz w:val="18"/>
              </w:rPr>
              <w:t>Express (5000)</w:t>
            </w:r>
          </w:p>
        </w:tc>
        <w:tc>
          <w:tcPr>
            <w:tcW w:type="dxa" w:w="3888"/>
            <w:shd w:fill="FFFFFF"/>
            <w:tcMar>
              <w:top w:w="100" w:type="dxa"/>
              <w:bottom w:w="100" w:type="dxa"/>
              <w:left w:w="140" w:type="dxa"/>
              <w:right w:w="140" w:type="dxa"/>
            </w:tcMar>
          </w:tcPr>
          <w:p>
            <w:pPr>
              <w:spacing w:before="0" w:after="0"/>
            </w:pPr>
            <w:r>
              <w:rPr>
                <w:rFonts w:ascii="Calibri" w:hAnsi="Calibri"/>
                <w:color w:val="1F2937"/>
                <w:sz w:val="18"/>
              </w:rPr>
              <w:t>Paginated search &amp; filtering across 12,937 works by district, state, and status.</w:t>
            </w:r>
          </w:p>
        </w:tc>
      </w:tr>
      <w:tr>
        <w:tc>
          <w:tcPr>
            <w:tcW w:type="dxa" w:w="2592"/>
            <w:shd w:fill="F8FAFC"/>
            <w:tcMar>
              <w:top w:w="100" w:type="dxa"/>
              <w:bottom w:w="100" w:type="dxa"/>
              <w:left w:w="140" w:type="dxa"/>
              <w:right w:w="140" w:type="dxa"/>
            </w:tcMar>
          </w:tcPr>
          <w:p>
            <w:pPr>
              <w:spacing w:before="0" w:after="0"/>
            </w:pPr>
            <w:r>
              <w:rPr>
                <w:rFonts w:ascii="Calibri" w:hAnsi="Calibri"/>
                <w:color w:val="1F2937"/>
                <w:sz w:val="18"/>
              </w:rPr>
              <w:t>/api/works/:id</w:t>
            </w:r>
          </w:p>
        </w:tc>
        <w:tc>
          <w:tcPr>
            <w:tcW w:type="dxa" w:w="1008"/>
            <w:shd w:fill="F8FAFC"/>
            <w:tcMar>
              <w:top w:w="100" w:type="dxa"/>
              <w:bottom w:w="100" w:type="dxa"/>
              <w:left w:w="140" w:type="dxa"/>
              <w:right w:w="140" w:type="dxa"/>
            </w:tcMar>
          </w:tcPr>
          <w:p>
            <w:pPr>
              <w:spacing w:before="0" w:after="0"/>
            </w:pPr>
            <w:r>
              <w:rPr>
                <w:rFonts w:ascii="Calibri" w:hAnsi="Calibri"/>
                <w:color w:val="1F2937"/>
                <w:sz w:val="18"/>
              </w:rPr>
              <w:t>GET</w:t>
            </w:r>
          </w:p>
        </w:tc>
        <w:tc>
          <w:tcPr>
            <w:tcW w:type="dxa" w:w="1872"/>
            <w:shd w:fill="F8FAFC"/>
            <w:tcMar>
              <w:top w:w="100" w:type="dxa"/>
              <w:bottom w:w="100" w:type="dxa"/>
              <w:left w:w="140" w:type="dxa"/>
              <w:right w:w="140" w:type="dxa"/>
            </w:tcMar>
          </w:tcPr>
          <w:p>
            <w:pPr>
              <w:spacing w:before="0" w:after="0"/>
            </w:pPr>
            <w:r>
              <w:rPr>
                <w:rFonts w:ascii="Calibri" w:hAnsi="Calibri"/>
                <w:color w:val="1F2937"/>
                <w:sz w:val="18"/>
              </w:rPr>
              <w:t>Express (5000)</w:t>
            </w:r>
          </w:p>
        </w:tc>
        <w:tc>
          <w:tcPr>
            <w:tcW w:type="dxa" w:w="3888"/>
            <w:shd w:fill="F8FAFC"/>
            <w:tcMar>
              <w:top w:w="100" w:type="dxa"/>
              <w:bottom w:w="100" w:type="dxa"/>
              <w:left w:w="140" w:type="dxa"/>
              <w:right w:w="140" w:type="dxa"/>
            </w:tcMar>
          </w:tcPr>
          <w:p>
            <w:pPr>
              <w:spacing w:before="0" w:after="0"/>
            </w:pPr>
            <w:r>
              <w:rPr>
                <w:rFonts w:ascii="Calibri" w:hAnsi="Calibri"/>
                <w:color w:val="1F2937"/>
                <w:sz w:val="18"/>
              </w:rPr>
              <w:t>Full work dossier including financial details, vendor ID, and progress history.</w:t>
            </w:r>
          </w:p>
        </w:tc>
      </w:tr>
      <w:tr>
        <w:tc>
          <w:tcPr>
            <w:tcW w:type="dxa" w:w="2592"/>
            <w:shd w:fill="FFFFFF"/>
            <w:tcMar>
              <w:top w:w="100" w:type="dxa"/>
              <w:bottom w:w="100" w:type="dxa"/>
              <w:left w:w="140" w:type="dxa"/>
              <w:right w:w="140" w:type="dxa"/>
            </w:tcMar>
          </w:tcPr>
          <w:p>
            <w:pPr>
              <w:spacing w:before="0" w:after="0"/>
            </w:pPr>
            <w:r>
              <w:rPr>
                <w:rFonts w:ascii="Calibri" w:hAnsi="Calibri"/>
                <w:color w:val="1F2937"/>
                <w:sz w:val="18"/>
              </w:rPr>
              <w:t>/api/alerts</w:t>
            </w:r>
          </w:p>
        </w:tc>
        <w:tc>
          <w:tcPr>
            <w:tcW w:type="dxa" w:w="1008"/>
            <w:shd w:fill="FFFFFF"/>
            <w:tcMar>
              <w:top w:w="100" w:type="dxa"/>
              <w:bottom w:w="100" w:type="dxa"/>
              <w:left w:w="140" w:type="dxa"/>
              <w:right w:w="140" w:type="dxa"/>
            </w:tcMar>
          </w:tcPr>
          <w:p>
            <w:pPr>
              <w:spacing w:before="0" w:after="0"/>
            </w:pPr>
            <w:r>
              <w:rPr>
                <w:rFonts w:ascii="Calibri" w:hAnsi="Calibri"/>
                <w:color w:val="1F2937"/>
                <w:sz w:val="18"/>
              </w:rPr>
              <w:t>GET</w:t>
            </w:r>
          </w:p>
        </w:tc>
        <w:tc>
          <w:tcPr>
            <w:tcW w:type="dxa" w:w="1872"/>
            <w:shd w:fill="FFFFFF"/>
            <w:tcMar>
              <w:top w:w="100" w:type="dxa"/>
              <w:bottom w:w="100" w:type="dxa"/>
              <w:left w:w="140" w:type="dxa"/>
              <w:right w:w="140" w:type="dxa"/>
            </w:tcMar>
          </w:tcPr>
          <w:p>
            <w:pPr>
              <w:spacing w:before="0" w:after="0"/>
            </w:pPr>
            <w:r>
              <w:rPr>
                <w:rFonts w:ascii="Calibri" w:hAnsi="Calibri"/>
                <w:color w:val="1F2937"/>
                <w:sz w:val="18"/>
              </w:rPr>
              <w:t>Express (5000)</w:t>
            </w:r>
          </w:p>
        </w:tc>
        <w:tc>
          <w:tcPr>
            <w:tcW w:type="dxa" w:w="3888"/>
            <w:shd w:fill="FFFFFF"/>
            <w:tcMar>
              <w:top w:w="100" w:type="dxa"/>
              <w:bottom w:w="100" w:type="dxa"/>
              <w:left w:w="140" w:type="dxa"/>
              <w:right w:w="140" w:type="dxa"/>
            </w:tcMar>
          </w:tcPr>
          <w:p>
            <w:pPr>
              <w:spacing w:before="0" w:after="0"/>
            </w:pPr>
            <w:r>
              <w:rPr>
                <w:rFonts w:ascii="Calibri" w:hAnsi="Calibri"/>
                <w:color w:val="1F2937"/>
                <w:sz w:val="18"/>
              </w:rPr>
              <w:t>Active anomaly queue with risk scores, factors, and countdown SLA timers.</w:t>
            </w:r>
          </w:p>
        </w:tc>
      </w:tr>
      <w:tr>
        <w:tc>
          <w:tcPr>
            <w:tcW w:type="dxa" w:w="2592"/>
            <w:shd w:fill="F8FAFC"/>
            <w:tcMar>
              <w:top w:w="100" w:type="dxa"/>
              <w:bottom w:w="100" w:type="dxa"/>
              <w:left w:w="140" w:type="dxa"/>
              <w:right w:w="140" w:type="dxa"/>
            </w:tcMar>
          </w:tcPr>
          <w:p>
            <w:pPr>
              <w:spacing w:before="0" w:after="0"/>
            </w:pPr>
            <w:r>
              <w:rPr>
                <w:rFonts w:ascii="Calibri" w:hAnsi="Calibri"/>
                <w:color w:val="1F2937"/>
                <w:sz w:val="18"/>
              </w:rPr>
              <w:t>/api/alerts/:id/action</w:t>
            </w:r>
          </w:p>
        </w:tc>
        <w:tc>
          <w:tcPr>
            <w:tcW w:type="dxa" w:w="1008"/>
            <w:shd w:fill="F8FAFC"/>
            <w:tcMar>
              <w:top w:w="100" w:type="dxa"/>
              <w:bottom w:w="100" w:type="dxa"/>
              <w:left w:w="140" w:type="dxa"/>
              <w:right w:w="140" w:type="dxa"/>
            </w:tcMar>
          </w:tcPr>
          <w:p>
            <w:pPr>
              <w:spacing w:before="0" w:after="0"/>
            </w:pPr>
            <w:r>
              <w:rPr>
                <w:rFonts w:ascii="Calibri" w:hAnsi="Calibri"/>
                <w:color w:val="1F2937"/>
                <w:sz w:val="18"/>
              </w:rPr>
              <w:t>POST</w:t>
            </w:r>
          </w:p>
        </w:tc>
        <w:tc>
          <w:tcPr>
            <w:tcW w:type="dxa" w:w="1872"/>
            <w:shd w:fill="F8FAFC"/>
            <w:tcMar>
              <w:top w:w="100" w:type="dxa"/>
              <w:bottom w:w="100" w:type="dxa"/>
              <w:left w:w="140" w:type="dxa"/>
              <w:right w:w="140" w:type="dxa"/>
            </w:tcMar>
          </w:tcPr>
          <w:p>
            <w:pPr>
              <w:spacing w:before="0" w:after="0"/>
            </w:pPr>
            <w:r>
              <w:rPr>
                <w:rFonts w:ascii="Calibri" w:hAnsi="Calibri"/>
                <w:color w:val="1F2937"/>
                <w:sz w:val="18"/>
              </w:rPr>
              <w:t>Express (5000)</w:t>
            </w:r>
          </w:p>
        </w:tc>
        <w:tc>
          <w:tcPr>
            <w:tcW w:type="dxa" w:w="3888"/>
            <w:shd w:fill="F8FAFC"/>
            <w:tcMar>
              <w:top w:w="100" w:type="dxa"/>
              <w:bottom w:w="100" w:type="dxa"/>
              <w:left w:w="140" w:type="dxa"/>
              <w:right w:w="140" w:type="dxa"/>
            </w:tcMar>
          </w:tcPr>
          <w:p>
            <w:pPr>
              <w:spacing w:before="0" w:after="0"/>
            </w:pPr>
            <w:r>
              <w:rPr>
                <w:rFonts w:ascii="Calibri" w:hAnsi="Calibri"/>
                <w:color w:val="1F2937"/>
                <w:sz w:val="18"/>
              </w:rPr>
              <w:t>Records official administrative action (e.g. 'Site Inspected', 'Payment Frozen').</w:t>
            </w:r>
          </w:p>
        </w:tc>
      </w:tr>
      <w:tr>
        <w:tc>
          <w:tcPr>
            <w:tcW w:type="dxa" w:w="2592"/>
            <w:shd w:fill="FFFFFF"/>
            <w:tcMar>
              <w:top w:w="100" w:type="dxa"/>
              <w:bottom w:w="100" w:type="dxa"/>
              <w:left w:w="140" w:type="dxa"/>
              <w:right w:w="140" w:type="dxa"/>
            </w:tcMar>
          </w:tcPr>
          <w:p>
            <w:pPr>
              <w:spacing w:before="0" w:after="0"/>
            </w:pPr>
            <w:r>
              <w:rPr>
                <w:rFonts w:ascii="Calibri" w:hAnsi="Calibri"/>
                <w:color w:val="1F2937"/>
                <w:sz w:val="18"/>
              </w:rPr>
              <w:t>/api/dashboards/district</w:t>
            </w:r>
          </w:p>
        </w:tc>
        <w:tc>
          <w:tcPr>
            <w:tcW w:type="dxa" w:w="1008"/>
            <w:shd w:fill="FFFFFF"/>
            <w:tcMar>
              <w:top w:w="100" w:type="dxa"/>
              <w:bottom w:w="100" w:type="dxa"/>
              <w:left w:w="140" w:type="dxa"/>
              <w:right w:w="140" w:type="dxa"/>
            </w:tcMar>
          </w:tcPr>
          <w:p>
            <w:pPr>
              <w:spacing w:before="0" w:after="0"/>
            </w:pPr>
            <w:r>
              <w:rPr>
                <w:rFonts w:ascii="Calibri" w:hAnsi="Calibri"/>
                <w:color w:val="1F2937"/>
                <w:sz w:val="18"/>
              </w:rPr>
              <w:t>GET</w:t>
            </w:r>
          </w:p>
        </w:tc>
        <w:tc>
          <w:tcPr>
            <w:tcW w:type="dxa" w:w="1872"/>
            <w:shd w:fill="FFFFFF"/>
            <w:tcMar>
              <w:top w:w="100" w:type="dxa"/>
              <w:bottom w:w="100" w:type="dxa"/>
              <w:left w:w="140" w:type="dxa"/>
              <w:right w:w="140" w:type="dxa"/>
            </w:tcMar>
          </w:tcPr>
          <w:p>
            <w:pPr>
              <w:spacing w:before="0" w:after="0"/>
            </w:pPr>
            <w:r>
              <w:rPr>
                <w:rFonts w:ascii="Calibri" w:hAnsi="Calibri"/>
                <w:color w:val="1F2937"/>
                <w:sz w:val="18"/>
              </w:rPr>
              <w:t>Express (5000)</w:t>
            </w:r>
          </w:p>
        </w:tc>
        <w:tc>
          <w:tcPr>
            <w:tcW w:type="dxa" w:w="3888"/>
            <w:shd w:fill="FFFFFF"/>
            <w:tcMar>
              <w:top w:w="100" w:type="dxa"/>
              <w:bottom w:w="100" w:type="dxa"/>
              <w:left w:w="140" w:type="dxa"/>
              <w:right w:w="140" w:type="dxa"/>
            </w:tcMar>
          </w:tcPr>
          <w:p>
            <w:pPr>
              <w:spacing w:before="0" w:after="0"/>
            </w:pPr>
            <w:r>
              <w:rPr>
                <w:rFonts w:ascii="Calibri" w:hAnsi="Calibri"/>
                <w:color w:val="1F2937"/>
                <w:sz w:val="18"/>
              </w:rPr>
              <w:t>District summary KPIs, contractor risk meter, and active audit queue.</w:t>
            </w:r>
          </w:p>
        </w:tc>
      </w:tr>
      <w:tr>
        <w:tc>
          <w:tcPr>
            <w:tcW w:type="dxa" w:w="2592"/>
            <w:shd w:fill="F8FAFC"/>
            <w:tcMar>
              <w:top w:w="100" w:type="dxa"/>
              <w:bottom w:w="100" w:type="dxa"/>
              <w:left w:w="140" w:type="dxa"/>
              <w:right w:w="140" w:type="dxa"/>
            </w:tcMar>
          </w:tcPr>
          <w:p>
            <w:pPr>
              <w:spacing w:before="0" w:after="0"/>
            </w:pPr>
            <w:r>
              <w:rPr>
                <w:rFonts w:ascii="Calibri" w:hAnsi="Calibri"/>
                <w:color w:val="1F2937"/>
                <w:sz w:val="18"/>
              </w:rPr>
              <w:t>/api/dashboards/mp</w:t>
            </w:r>
          </w:p>
        </w:tc>
        <w:tc>
          <w:tcPr>
            <w:tcW w:type="dxa" w:w="1008"/>
            <w:shd w:fill="F8FAFC"/>
            <w:tcMar>
              <w:top w:w="100" w:type="dxa"/>
              <w:bottom w:w="100" w:type="dxa"/>
              <w:left w:w="140" w:type="dxa"/>
              <w:right w:w="140" w:type="dxa"/>
            </w:tcMar>
          </w:tcPr>
          <w:p>
            <w:pPr>
              <w:spacing w:before="0" w:after="0"/>
            </w:pPr>
            <w:r>
              <w:rPr>
                <w:rFonts w:ascii="Calibri" w:hAnsi="Calibri"/>
                <w:color w:val="1F2937"/>
                <w:sz w:val="18"/>
              </w:rPr>
              <w:t>GET</w:t>
            </w:r>
          </w:p>
        </w:tc>
        <w:tc>
          <w:tcPr>
            <w:tcW w:type="dxa" w:w="1872"/>
            <w:shd w:fill="F8FAFC"/>
            <w:tcMar>
              <w:top w:w="100" w:type="dxa"/>
              <w:bottom w:w="100" w:type="dxa"/>
              <w:left w:w="140" w:type="dxa"/>
              <w:right w:w="140" w:type="dxa"/>
            </w:tcMar>
          </w:tcPr>
          <w:p>
            <w:pPr>
              <w:spacing w:before="0" w:after="0"/>
            </w:pPr>
            <w:r>
              <w:rPr>
                <w:rFonts w:ascii="Calibri" w:hAnsi="Calibri"/>
                <w:color w:val="1F2937"/>
                <w:sz w:val="18"/>
              </w:rPr>
              <w:t>Express (5000)</w:t>
            </w:r>
          </w:p>
        </w:tc>
        <w:tc>
          <w:tcPr>
            <w:tcW w:type="dxa" w:w="3888"/>
            <w:shd w:fill="F8FAFC"/>
            <w:tcMar>
              <w:top w:w="100" w:type="dxa"/>
              <w:bottom w:w="100" w:type="dxa"/>
              <w:left w:w="140" w:type="dxa"/>
              <w:right w:w="140" w:type="dxa"/>
            </w:tcMar>
          </w:tcPr>
          <w:p>
            <w:pPr>
              <w:spacing w:before="0" w:after="0"/>
            </w:pPr>
            <w:r>
              <w:rPr>
                <w:rFonts w:ascii="Calibri" w:hAnsi="Calibri"/>
                <w:color w:val="1F2937"/>
                <w:sz w:val="18"/>
              </w:rPr>
              <w:t>MP constituency fund utilization, sector allocation, and delayed projects.</w:t>
            </w:r>
          </w:p>
        </w:tc>
      </w:tr>
      <w:tr>
        <w:tc>
          <w:tcPr>
            <w:tcW w:type="dxa" w:w="2592"/>
            <w:shd w:fill="FFFFFF"/>
            <w:tcMar>
              <w:top w:w="100" w:type="dxa"/>
              <w:bottom w:w="100" w:type="dxa"/>
              <w:left w:w="140" w:type="dxa"/>
              <w:right w:w="140" w:type="dxa"/>
            </w:tcMar>
          </w:tcPr>
          <w:p>
            <w:pPr>
              <w:spacing w:before="0" w:after="0"/>
            </w:pPr>
            <w:r>
              <w:rPr>
                <w:rFonts w:ascii="Calibri" w:hAnsi="Calibri"/>
                <w:color w:val="1F2937"/>
                <w:sz w:val="18"/>
              </w:rPr>
              <w:t>/api/dashboards/state</w:t>
            </w:r>
          </w:p>
        </w:tc>
        <w:tc>
          <w:tcPr>
            <w:tcW w:type="dxa" w:w="1008"/>
            <w:shd w:fill="FFFFFF"/>
            <w:tcMar>
              <w:top w:w="100" w:type="dxa"/>
              <w:bottom w:w="100" w:type="dxa"/>
              <w:left w:w="140" w:type="dxa"/>
              <w:right w:w="140" w:type="dxa"/>
            </w:tcMar>
          </w:tcPr>
          <w:p>
            <w:pPr>
              <w:spacing w:before="0" w:after="0"/>
            </w:pPr>
            <w:r>
              <w:rPr>
                <w:rFonts w:ascii="Calibri" w:hAnsi="Calibri"/>
                <w:color w:val="1F2937"/>
                <w:sz w:val="18"/>
              </w:rPr>
              <w:t>GET</w:t>
            </w:r>
          </w:p>
        </w:tc>
        <w:tc>
          <w:tcPr>
            <w:tcW w:type="dxa" w:w="1872"/>
            <w:shd w:fill="FFFFFF"/>
            <w:tcMar>
              <w:top w:w="100" w:type="dxa"/>
              <w:bottom w:w="100" w:type="dxa"/>
              <w:left w:w="140" w:type="dxa"/>
              <w:right w:w="140" w:type="dxa"/>
            </w:tcMar>
          </w:tcPr>
          <w:p>
            <w:pPr>
              <w:spacing w:before="0" w:after="0"/>
            </w:pPr>
            <w:r>
              <w:rPr>
                <w:rFonts w:ascii="Calibri" w:hAnsi="Calibri"/>
                <w:color w:val="1F2937"/>
                <w:sz w:val="18"/>
              </w:rPr>
              <w:t>Express (5000)</w:t>
            </w:r>
          </w:p>
        </w:tc>
        <w:tc>
          <w:tcPr>
            <w:tcW w:type="dxa" w:w="3888"/>
            <w:shd w:fill="FFFFFF"/>
            <w:tcMar>
              <w:top w:w="100" w:type="dxa"/>
              <w:bottom w:w="100" w:type="dxa"/>
              <w:left w:w="140" w:type="dxa"/>
              <w:right w:w="140" w:type="dxa"/>
            </w:tcMar>
          </w:tcPr>
          <w:p>
            <w:pPr>
              <w:spacing w:before="0" w:after="0"/>
            </w:pPr>
            <w:r>
              <w:rPr>
                <w:rFonts w:ascii="Calibri" w:hAnsi="Calibri"/>
                <w:color w:val="1F2937"/>
                <w:sz w:val="18"/>
              </w:rPr>
              <w:t>State-level comparative metrics and district ranking indices.</w:t>
            </w:r>
          </w:p>
        </w:tc>
      </w:tr>
      <w:tr>
        <w:tc>
          <w:tcPr>
            <w:tcW w:type="dxa" w:w="2592"/>
            <w:shd w:fill="F8FAFC"/>
            <w:tcMar>
              <w:top w:w="100" w:type="dxa"/>
              <w:bottom w:w="100" w:type="dxa"/>
              <w:left w:w="140" w:type="dxa"/>
              <w:right w:w="140" w:type="dxa"/>
            </w:tcMar>
          </w:tcPr>
          <w:p>
            <w:pPr>
              <w:spacing w:before="0" w:after="0"/>
            </w:pPr>
            <w:r>
              <w:rPr>
                <w:rFonts w:ascii="Calibri" w:hAnsi="Calibri"/>
                <w:color w:val="1F2937"/>
                <w:sz w:val="18"/>
              </w:rPr>
              <w:t>/api/dashboards/ministry</w:t>
            </w:r>
          </w:p>
        </w:tc>
        <w:tc>
          <w:tcPr>
            <w:tcW w:type="dxa" w:w="1008"/>
            <w:shd w:fill="F8FAFC"/>
            <w:tcMar>
              <w:top w:w="100" w:type="dxa"/>
              <w:bottom w:w="100" w:type="dxa"/>
              <w:left w:w="140" w:type="dxa"/>
              <w:right w:w="140" w:type="dxa"/>
            </w:tcMar>
          </w:tcPr>
          <w:p>
            <w:pPr>
              <w:spacing w:before="0" w:after="0"/>
            </w:pPr>
            <w:r>
              <w:rPr>
                <w:rFonts w:ascii="Calibri" w:hAnsi="Calibri"/>
                <w:color w:val="1F2937"/>
                <w:sz w:val="18"/>
              </w:rPr>
              <w:t>GET</w:t>
            </w:r>
          </w:p>
        </w:tc>
        <w:tc>
          <w:tcPr>
            <w:tcW w:type="dxa" w:w="1872"/>
            <w:shd w:fill="F8FAFC"/>
            <w:tcMar>
              <w:top w:w="100" w:type="dxa"/>
              <w:bottom w:w="100" w:type="dxa"/>
              <w:left w:w="140" w:type="dxa"/>
              <w:right w:w="140" w:type="dxa"/>
            </w:tcMar>
          </w:tcPr>
          <w:p>
            <w:pPr>
              <w:spacing w:before="0" w:after="0"/>
            </w:pPr>
            <w:r>
              <w:rPr>
                <w:rFonts w:ascii="Calibri" w:hAnsi="Calibri"/>
                <w:color w:val="1F2937"/>
                <w:sz w:val="18"/>
              </w:rPr>
              <w:t>Express (5000)</w:t>
            </w:r>
          </w:p>
        </w:tc>
        <w:tc>
          <w:tcPr>
            <w:tcW w:type="dxa" w:w="3888"/>
            <w:shd w:fill="F8FAFC"/>
            <w:tcMar>
              <w:top w:w="100" w:type="dxa"/>
              <w:bottom w:w="100" w:type="dxa"/>
              <w:left w:w="140" w:type="dxa"/>
              <w:right w:w="140" w:type="dxa"/>
            </w:tcMar>
          </w:tcPr>
          <w:p>
            <w:pPr>
              <w:spacing w:before="0" w:after="0"/>
            </w:pPr>
            <w:r>
              <w:rPr>
                <w:rFonts w:ascii="Calibri" w:hAnsi="Calibri"/>
                <w:color w:val="1F2937"/>
                <w:sz w:val="18"/>
              </w:rPr>
              <w:t>National macro statistics, risk concentration, and policy simulation.</w:t>
            </w:r>
          </w:p>
        </w:tc>
      </w:tr>
      <w:tr>
        <w:tc>
          <w:tcPr>
            <w:tcW w:type="dxa" w:w="2592"/>
            <w:shd w:fill="FFFFFF"/>
            <w:tcMar>
              <w:top w:w="100" w:type="dxa"/>
              <w:bottom w:w="100" w:type="dxa"/>
              <w:left w:w="140" w:type="dxa"/>
              <w:right w:w="140" w:type="dxa"/>
            </w:tcMar>
          </w:tcPr>
          <w:p>
            <w:pPr>
              <w:spacing w:before="0" w:after="0"/>
            </w:pPr>
            <w:r>
              <w:rPr>
                <w:rFonts w:ascii="Calibri" w:hAnsi="Calibri"/>
                <w:color w:val="1F2937"/>
                <w:sz w:val="18"/>
              </w:rPr>
              <w:t>/api/ml/nl-query</w:t>
            </w:r>
          </w:p>
        </w:tc>
        <w:tc>
          <w:tcPr>
            <w:tcW w:type="dxa" w:w="1008"/>
            <w:shd w:fill="FFFFFF"/>
            <w:tcMar>
              <w:top w:w="100" w:type="dxa"/>
              <w:bottom w:w="100" w:type="dxa"/>
              <w:left w:w="140" w:type="dxa"/>
              <w:right w:w="140" w:type="dxa"/>
            </w:tcMar>
          </w:tcPr>
          <w:p>
            <w:pPr>
              <w:spacing w:before="0" w:after="0"/>
            </w:pPr>
            <w:r>
              <w:rPr>
                <w:rFonts w:ascii="Calibri" w:hAnsi="Calibri"/>
                <w:color w:val="1F2937"/>
                <w:sz w:val="18"/>
              </w:rPr>
              <w:t>POST</w:t>
            </w:r>
          </w:p>
        </w:tc>
        <w:tc>
          <w:tcPr>
            <w:tcW w:type="dxa" w:w="1872"/>
            <w:shd w:fill="FFFFFF"/>
            <w:tcMar>
              <w:top w:w="100" w:type="dxa"/>
              <w:bottom w:w="100" w:type="dxa"/>
              <w:left w:w="140" w:type="dxa"/>
              <w:right w:w="140" w:type="dxa"/>
            </w:tcMar>
          </w:tcPr>
          <w:p>
            <w:pPr>
              <w:spacing w:before="0" w:after="0"/>
            </w:pPr>
            <w:r>
              <w:rPr>
                <w:rFonts w:ascii="Calibri" w:hAnsi="Calibri"/>
                <w:color w:val="1F2937"/>
                <w:sz w:val="18"/>
              </w:rPr>
              <w:t>Next.js / FastAPI</w:t>
            </w:r>
          </w:p>
        </w:tc>
        <w:tc>
          <w:tcPr>
            <w:tcW w:type="dxa" w:w="3888"/>
            <w:shd w:fill="FFFFFF"/>
            <w:tcMar>
              <w:top w:w="100" w:type="dxa"/>
              <w:bottom w:w="100" w:type="dxa"/>
              <w:left w:w="140" w:type="dxa"/>
              <w:right w:w="140" w:type="dxa"/>
            </w:tcMar>
          </w:tcPr>
          <w:p>
            <w:pPr>
              <w:spacing w:before="0" w:after="0"/>
            </w:pPr>
            <w:r>
              <w:rPr>
                <w:rFonts w:ascii="Calibri" w:hAnsi="Calibri"/>
                <w:color w:val="1F2937"/>
                <w:sz w:val="18"/>
              </w:rPr>
              <w:t>Grounded RAG question-answering powered by FAISS + Gemini 3.6 Flash.</w:t>
            </w:r>
          </w:p>
        </w:tc>
      </w:tr>
      <w:tr>
        <w:tc>
          <w:tcPr>
            <w:tcW w:type="dxa" w:w="2592"/>
            <w:shd w:fill="F8FAFC"/>
            <w:tcMar>
              <w:top w:w="100" w:type="dxa"/>
              <w:bottom w:w="100" w:type="dxa"/>
              <w:left w:w="140" w:type="dxa"/>
              <w:right w:w="140" w:type="dxa"/>
            </w:tcMar>
          </w:tcPr>
          <w:p>
            <w:pPr>
              <w:spacing w:before="0" w:after="0"/>
            </w:pPr>
            <w:r>
              <w:rPr>
                <w:rFonts w:ascii="Calibri" w:hAnsi="Calibri"/>
                <w:color w:val="1F2937"/>
                <w:sz w:val="18"/>
              </w:rPr>
              <w:t>/api/works/:id/risk-profile</w:t>
            </w:r>
          </w:p>
        </w:tc>
        <w:tc>
          <w:tcPr>
            <w:tcW w:type="dxa" w:w="1008"/>
            <w:shd w:fill="F8FAFC"/>
            <w:tcMar>
              <w:top w:w="100" w:type="dxa"/>
              <w:bottom w:w="100" w:type="dxa"/>
              <w:left w:w="140" w:type="dxa"/>
              <w:right w:w="140" w:type="dxa"/>
            </w:tcMar>
          </w:tcPr>
          <w:p>
            <w:pPr>
              <w:spacing w:before="0" w:after="0"/>
            </w:pPr>
            <w:r>
              <w:rPr>
                <w:rFonts w:ascii="Calibri" w:hAnsi="Calibri"/>
                <w:color w:val="1F2937"/>
                <w:sz w:val="18"/>
              </w:rPr>
              <w:t>GET</w:t>
            </w:r>
          </w:p>
        </w:tc>
        <w:tc>
          <w:tcPr>
            <w:tcW w:type="dxa" w:w="1872"/>
            <w:shd w:fill="F8FAFC"/>
            <w:tcMar>
              <w:top w:w="100" w:type="dxa"/>
              <w:bottom w:w="100" w:type="dxa"/>
              <w:left w:w="140" w:type="dxa"/>
              <w:right w:w="140" w:type="dxa"/>
            </w:tcMar>
          </w:tcPr>
          <w:p>
            <w:pPr>
              <w:spacing w:before="0" w:after="0"/>
            </w:pPr>
            <w:r>
              <w:rPr>
                <w:rFonts w:ascii="Calibri" w:hAnsi="Calibri"/>
                <w:color w:val="1F2937"/>
                <w:sz w:val="18"/>
              </w:rPr>
              <w:t>FastAPI (8000)</w:t>
            </w:r>
          </w:p>
        </w:tc>
        <w:tc>
          <w:tcPr>
            <w:tcW w:type="dxa" w:w="3888"/>
            <w:shd w:fill="F8FAFC"/>
            <w:tcMar>
              <w:top w:w="100" w:type="dxa"/>
              <w:bottom w:w="100" w:type="dxa"/>
              <w:left w:w="140" w:type="dxa"/>
              <w:right w:w="140" w:type="dxa"/>
            </w:tcMar>
          </w:tcPr>
          <w:p>
            <w:pPr>
              <w:spacing w:before="0" w:after="0"/>
            </w:pPr>
            <w:r>
              <w:rPr>
                <w:rFonts w:ascii="Calibri" w:hAnsi="Calibri"/>
                <w:color w:val="1F2937"/>
                <w:sz w:val="18"/>
              </w:rPr>
              <w:t>Computes multi-factor anomaly scores and physical-financial variance.</w:t>
            </w:r>
          </w:p>
        </w:tc>
      </w:tr>
      <w:tr>
        <w:tc>
          <w:tcPr>
            <w:tcW w:type="dxa" w:w="2592"/>
            <w:shd w:fill="FFFFFF"/>
            <w:tcMar>
              <w:top w:w="100" w:type="dxa"/>
              <w:bottom w:w="100" w:type="dxa"/>
              <w:left w:w="140" w:type="dxa"/>
              <w:right w:w="140" w:type="dxa"/>
            </w:tcMar>
          </w:tcPr>
          <w:p>
            <w:pPr>
              <w:spacing w:before="0" w:after="0"/>
            </w:pPr>
            <w:r>
              <w:rPr>
                <w:rFonts w:ascii="Calibri" w:hAnsi="Calibri"/>
                <w:color w:val="1F2937"/>
                <w:sz w:val="18"/>
              </w:rPr>
              <w:t>/api/vision/geoverify</w:t>
            </w:r>
          </w:p>
        </w:tc>
        <w:tc>
          <w:tcPr>
            <w:tcW w:type="dxa" w:w="1008"/>
            <w:shd w:fill="FFFFFF"/>
            <w:tcMar>
              <w:top w:w="100" w:type="dxa"/>
              <w:bottom w:w="100" w:type="dxa"/>
              <w:left w:w="140" w:type="dxa"/>
              <w:right w:w="140" w:type="dxa"/>
            </w:tcMar>
          </w:tcPr>
          <w:p>
            <w:pPr>
              <w:spacing w:before="0" w:after="0"/>
            </w:pPr>
            <w:r>
              <w:rPr>
                <w:rFonts w:ascii="Calibri" w:hAnsi="Calibri"/>
                <w:color w:val="1F2937"/>
                <w:sz w:val="18"/>
              </w:rPr>
              <w:t>POST</w:t>
            </w:r>
          </w:p>
        </w:tc>
        <w:tc>
          <w:tcPr>
            <w:tcW w:type="dxa" w:w="1872"/>
            <w:shd w:fill="FFFFFF"/>
            <w:tcMar>
              <w:top w:w="100" w:type="dxa"/>
              <w:bottom w:w="100" w:type="dxa"/>
              <w:left w:w="140" w:type="dxa"/>
              <w:right w:w="140" w:type="dxa"/>
            </w:tcMar>
          </w:tcPr>
          <w:p>
            <w:pPr>
              <w:spacing w:before="0" w:after="0"/>
            </w:pPr>
            <w:r>
              <w:rPr>
                <w:rFonts w:ascii="Calibri" w:hAnsi="Calibri"/>
                <w:color w:val="1F2937"/>
                <w:sz w:val="18"/>
              </w:rPr>
              <w:t>FastAPI (8000)</w:t>
            </w:r>
          </w:p>
        </w:tc>
        <w:tc>
          <w:tcPr>
            <w:tcW w:type="dxa" w:w="3888"/>
            <w:shd w:fill="FFFFFF"/>
            <w:tcMar>
              <w:top w:w="100" w:type="dxa"/>
              <w:bottom w:w="100" w:type="dxa"/>
              <w:left w:w="140" w:type="dxa"/>
              <w:right w:w="140" w:type="dxa"/>
            </w:tcMar>
          </w:tcPr>
          <w:p>
            <w:pPr>
              <w:spacing w:before="0" w:after="0"/>
            </w:pPr>
            <w:r>
              <w:rPr>
                <w:rFonts w:ascii="Calibri" w:hAnsi="Calibri"/>
                <w:color w:val="1F2937"/>
                <w:sz w:val="18"/>
              </w:rPr>
              <w:t>Validates inspection photo EXIF GPS coordinates against work location.</w:t>
            </w:r>
          </w:p>
        </w:tc>
      </w:tr>
      <w:tr>
        <w:tc>
          <w:tcPr>
            <w:tcW w:type="dxa" w:w="2592"/>
            <w:shd w:fill="F8FAFC"/>
            <w:tcMar>
              <w:top w:w="100" w:type="dxa"/>
              <w:bottom w:w="100" w:type="dxa"/>
              <w:left w:w="140" w:type="dxa"/>
              <w:right w:w="140" w:type="dxa"/>
            </w:tcMar>
          </w:tcPr>
          <w:p>
            <w:pPr>
              <w:spacing w:before="0" w:after="0"/>
            </w:pPr>
            <w:r>
              <w:rPr>
                <w:rFonts w:ascii="Calibri" w:hAnsi="Calibri"/>
                <w:color w:val="1F2937"/>
                <w:sz w:val="18"/>
              </w:rPr>
              <w:t>/api/ml/cross-scheme/:id</w:t>
            </w:r>
          </w:p>
        </w:tc>
        <w:tc>
          <w:tcPr>
            <w:tcW w:type="dxa" w:w="1008"/>
            <w:shd w:fill="F8FAFC"/>
            <w:tcMar>
              <w:top w:w="100" w:type="dxa"/>
              <w:bottom w:w="100" w:type="dxa"/>
              <w:left w:w="140" w:type="dxa"/>
              <w:right w:w="140" w:type="dxa"/>
            </w:tcMar>
          </w:tcPr>
          <w:p>
            <w:pPr>
              <w:spacing w:before="0" w:after="0"/>
            </w:pPr>
            <w:r>
              <w:rPr>
                <w:rFonts w:ascii="Calibri" w:hAnsi="Calibri"/>
                <w:color w:val="1F2937"/>
                <w:sz w:val="18"/>
              </w:rPr>
              <w:t>GET</w:t>
            </w:r>
          </w:p>
        </w:tc>
        <w:tc>
          <w:tcPr>
            <w:tcW w:type="dxa" w:w="1872"/>
            <w:shd w:fill="F8FAFC"/>
            <w:tcMar>
              <w:top w:w="100" w:type="dxa"/>
              <w:bottom w:w="100" w:type="dxa"/>
              <w:left w:w="140" w:type="dxa"/>
              <w:right w:w="140" w:type="dxa"/>
            </w:tcMar>
          </w:tcPr>
          <w:p>
            <w:pPr>
              <w:spacing w:before="0" w:after="0"/>
            </w:pPr>
            <w:r>
              <w:rPr>
                <w:rFonts w:ascii="Calibri" w:hAnsi="Calibri"/>
                <w:color w:val="1F2937"/>
                <w:sz w:val="18"/>
              </w:rPr>
              <w:t>FastAPI (8000)</w:t>
            </w:r>
          </w:p>
        </w:tc>
        <w:tc>
          <w:tcPr>
            <w:tcW w:type="dxa" w:w="3888"/>
            <w:shd w:fill="F8FAFC"/>
            <w:tcMar>
              <w:top w:w="100" w:type="dxa"/>
              <w:bottom w:w="100" w:type="dxa"/>
              <w:left w:w="140" w:type="dxa"/>
              <w:right w:w="140" w:type="dxa"/>
            </w:tcMar>
          </w:tcPr>
          <w:p>
            <w:pPr>
              <w:spacing w:before="0" w:after="0"/>
            </w:pPr>
            <w:r>
              <w:rPr>
                <w:rFonts w:ascii="Calibri" w:hAnsi="Calibri"/>
                <w:color w:val="1F2937"/>
                <w:sz w:val="18"/>
              </w:rPr>
              <w:t>Scans for double-funding suspects across PMGSY and State civil schemes.</w:t>
            </w:r>
          </w:p>
        </w:tc>
      </w:tr>
      <w:tr>
        <w:tc>
          <w:tcPr>
            <w:tcW w:type="dxa" w:w="2592"/>
            <w:shd w:fill="FFFFFF"/>
            <w:tcMar>
              <w:top w:w="100" w:type="dxa"/>
              <w:bottom w:w="100" w:type="dxa"/>
              <w:left w:w="140" w:type="dxa"/>
              <w:right w:w="140" w:type="dxa"/>
            </w:tcMar>
          </w:tcPr>
          <w:p>
            <w:pPr>
              <w:spacing w:before="0" w:after="0"/>
            </w:pPr>
            <w:r>
              <w:rPr>
                <w:rFonts w:ascii="Calibri" w:hAnsi="Calibri"/>
                <w:color w:val="1F2937"/>
                <w:sz w:val="18"/>
              </w:rPr>
              <w:t>/api/ml/vendor-network/:id</w:t>
            </w:r>
          </w:p>
        </w:tc>
        <w:tc>
          <w:tcPr>
            <w:tcW w:type="dxa" w:w="1008"/>
            <w:shd w:fill="FFFFFF"/>
            <w:tcMar>
              <w:top w:w="100" w:type="dxa"/>
              <w:bottom w:w="100" w:type="dxa"/>
              <w:left w:w="140" w:type="dxa"/>
              <w:right w:w="140" w:type="dxa"/>
            </w:tcMar>
          </w:tcPr>
          <w:p>
            <w:pPr>
              <w:spacing w:before="0" w:after="0"/>
            </w:pPr>
            <w:r>
              <w:rPr>
                <w:rFonts w:ascii="Calibri" w:hAnsi="Calibri"/>
                <w:color w:val="1F2937"/>
                <w:sz w:val="18"/>
              </w:rPr>
              <w:t>GET</w:t>
            </w:r>
          </w:p>
        </w:tc>
        <w:tc>
          <w:tcPr>
            <w:tcW w:type="dxa" w:w="1872"/>
            <w:shd w:fill="FFFFFF"/>
            <w:tcMar>
              <w:top w:w="100" w:type="dxa"/>
              <w:bottom w:w="100" w:type="dxa"/>
              <w:left w:w="140" w:type="dxa"/>
              <w:right w:w="140" w:type="dxa"/>
            </w:tcMar>
          </w:tcPr>
          <w:p>
            <w:pPr>
              <w:spacing w:before="0" w:after="0"/>
            </w:pPr>
            <w:r>
              <w:rPr>
                <w:rFonts w:ascii="Calibri" w:hAnsi="Calibri"/>
                <w:color w:val="1F2937"/>
                <w:sz w:val="18"/>
              </w:rPr>
              <w:t>FastAPI (8000)</w:t>
            </w:r>
          </w:p>
        </w:tc>
        <w:tc>
          <w:tcPr>
            <w:tcW w:type="dxa" w:w="3888"/>
            <w:shd w:fill="FFFFFF"/>
            <w:tcMar>
              <w:top w:w="100" w:type="dxa"/>
              <w:bottom w:w="100" w:type="dxa"/>
              <w:left w:w="140" w:type="dxa"/>
              <w:right w:w="140" w:type="dxa"/>
            </w:tcMar>
          </w:tcPr>
          <w:p>
            <w:pPr>
              <w:spacing w:before="0" w:after="0"/>
            </w:pPr>
            <w:r>
              <w:rPr>
                <w:rFonts w:ascii="Calibri" w:hAnsi="Calibri"/>
                <w:color w:val="1F2937"/>
                <w:sz w:val="18"/>
              </w:rPr>
              <w:t>Graph analysis of vendor co-bidding patterns and cartel hub scores.</w:t>
            </w:r>
          </w:p>
        </w:tc>
      </w:tr>
    </w:tbl>
    <w:p>
      <w:pPr>
        <w:spacing w:after="160"/>
      </w:pPr>
    </w:p>
    <w:p>
      <w:pPr>
        <w:pStyle w:val="Heading1"/>
        <w:keepNext/>
        <w:spacing w:before="360" w:after="120"/>
      </w:pPr>
      <w:r>
        <w:rPr>
          <w:rFonts w:ascii="Calibri" w:hAnsi="Calibri"/>
          <w:b/>
          <w:color w:val="1E3A8A"/>
          <w:sz w:val="36"/>
        </w:rPr>
        <w:t>7. Installation, Configuration &amp; Operation Guide</w:t>
      </w:r>
    </w:p>
    <w:p>
      <w:pPr>
        <w:spacing w:before="0" w:after="120" w:line="276" w:lineRule="auto"/>
      </w:pPr>
      <w:r>
        <w:rPr>
          <w:rFonts w:ascii="Calibri" w:hAnsi="Calibri"/>
          <w:b/>
          <w:color w:val="111827"/>
          <w:sz w:val="21"/>
        </w:rPr>
        <w:t xml:space="preserve">Prerequisites: </w:t>
      </w:r>
      <w:r>
        <w:rPr>
          <w:rFonts w:ascii="Calibri" w:hAnsi="Calibri"/>
          <w:color w:val="374151"/>
          <w:sz w:val="21"/>
        </w:rPr>
        <w:t>The entire platform can be deployed and run on any modern developer workstation or cloud VM running Windows, Linux, or macOS:</w:t>
      </w:r>
    </w:p>
    <w:p>
      <w:pPr>
        <w:pStyle w:val="ListBullet"/>
        <w:spacing w:before="20" w:after="60" w:line="276" w:lineRule="auto"/>
      </w:pPr>
      <w:r>
        <w:rPr>
          <w:rFonts w:ascii="Calibri" w:hAnsi="Calibri"/>
          <w:b/>
          <w:color w:val="1F2937"/>
          <w:sz w:val="20"/>
        </w:rPr>
        <w:t xml:space="preserve">Python Environment: </w:t>
      </w:r>
      <w:r>
        <w:rPr>
          <w:rFonts w:ascii="Calibri" w:hAnsi="Calibri"/>
          <w:color w:val="4B5563"/>
          <w:sz w:val="20"/>
        </w:rPr>
        <w:t>Python 3.10 or higher with pip, virtualenv, or conda.</w:t>
      </w:r>
    </w:p>
    <w:p>
      <w:pPr>
        <w:pStyle w:val="ListBullet"/>
        <w:spacing w:before="20" w:after="60" w:line="276" w:lineRule="auto"/>
      </w:pPr>
      <w:r>
        <w:rPr>
          <w:rFonts w:ascii="Calibri" w:hAnsi="Calibri"/>
          <w:b/>
          <w:color w:val="1F2937"/>
          <w:sz w:val="20"/>
        </w:rPr>
        <w:t xml:space="preserve">Node.js Environment: </w:t>
      </w:r>
      <w:r>
        <w:rPr>
          <w:rFonts w:ascii="Calibri" w:hAnsi="Calibri"/>
          <w:color w:val="4B5563"/>
          <w:sz w:val="20"/>
        </w:rPr>
        <w:t>Node.js 18.x or 20.x LTS with npm.</w:t>
      </w:r>
    </w:p>
    <w:p>
      <w:pPr>
        <w:pStyle w:val="ListBullet"/>
        <w:spacing w:before="20" w:after="60" w:line="276" w:lineRule="auto"/>
      </w:pPr>
      <w:r>
        <w:rPr>
          <w:rFonts w:ascii="Calibri" w:hAnsi="Calibri"/>
          <w:b/>
          <w:color w:val="1F2937"/>
          <w:sz w:val="20"/>
        </w:rPr>
        <w:t xml:space="preserve">API Credentials: </w:t>
      </w:r>
      <w:r>
        <w:rPr>
          <w:rFonts w:ascii="Calibri" w:hAnsi="Calibri"/>
          <w:color w:val="4B5563"/>
          <w:sz w:val="20"/>
        </w:rPr>
        <w:t>Valid Google Gemini API Key added to the root .env file as GEMINI_API_KEY=your_key_here.</w:t>
      </w:r>
    </w:p>
    <w:p>
      <w:pPr>
        <w:spacing w:before="0" w:after="120" w:line="276" w:lineRule="auto"/>
      </w:pPr>
      <w:r>
        <w:rPr>
          <w:rFonts w:ascii="Calibri" w:hAnsi="Calibri"/>
          <w:b/>
          <w:color w:val="111827"/>
          <w:sz w:val="21"/>
        </w:rPr>
        <w:t xml:space="preserve">Execution Commands: </w:t>
      </w:r>
      <w:r>
        <w:rPr>
          <w:rFonts w:ascii="Calibri" w:hAnsi="Calibri"/>
          <w:color w:val="374151"/>
          <w:sz w:val="21"/>
        </w:rPr>
        <w:t>Follow the 3-step startup sequence to launch all tiers concurrently:</w:t>
      </w:r>
    </w:p>
    <w:p>
      <w:pPr>
        <w:pStyle w:val="ListBullet"/>
        <w:spacing w:before="20" w:after="60" w:line="276" w:lineRule="auto"/>
      </w:pPr>
      <w:r>
        <w:rPr>
          <w:rFonts w:ascii="Calibri" w:hAnsi="Calibri"/>
          <w:b/>
          <w:color w:val="1F2937"/>
          <w:sz w:val="20"/>
        </w:rPr>
        <w:t xml:space="preserve">Step 1: Start FastAPI Analytical Engine: </w:t>
      </w:r>
      <w:r>
        <w:rPr>
          <w:rFonts w:ascii="Calibri" w:hAnsi="Calibri"/>
          <w:color w:val="4B5563"/>
          <w:sz w:val="20"/>
        </w:rPr>
        <w:t>Run command in root directory: python -m uvicorn mplads_ai.api.app:app --host 0.0.0.0 --port 8000 (Accessible at http://localhost:8000/docs)</w:t>
      </w:r>
    </w:p>
    <w:p>
      <w:pPr>
        <w:pStyle w:val="ListBullet"/>
        <w:spacing w:before="20" w:after="60" w:line="276" w:lineRule="auto"/>
      </w:pPr>
      <w:r>
        <w:rPr>
          <w:rFonts w:ascii="Calibri" w:hAnsi="Calibri"/>
          <w:b/>
          <w:color w:val="1F2937"/>
          <w:sz w:val="20"/>
        </w:rPr>
        <w:t xml:space="preserve">Step 2: Start Express API Gateway: </w:t>
      </w:r>
      <w:r>
        <w:rPr>
          <w:rFonts w:ascii="Calibri" w:hAnsi="Calibri"/>
          <w:color w:val="4B5563"/>
          <w:sz w:val="20"/>
        </w:rPr>
        <w:t>Run commands in server/ directory: npm run build followed by node dist/server.js (Accessible at http://localhost:5000/api/health)</w:t>
      </w:r>
    </w:p>
    <w:p>
      <w:pPr>
        <w:pStyle w:val="ListBullet"/>
        <w:spacing w:before="20" w:after="60" w:line="276" w:lineRule="auto"/>
      </w:pPr>
      <w:r>
        <w:rPr>
          <w:rFonts w:ascii="Calibri" w:hAnsi="Calibri"/>
          <w:b/>
          <w:color w:val="1F2937"/>
          <w:sz w:val="20"/>
        </w:rPr>
        <w:t xml:space="preserve">Step 3: Start Next.js Frontend Application: </w:t>
      </w:r>
      <w:r>
        <w:rPr>
          <w:rFonts w:ascii="Calibri" w:hAnsi="Calibri"/>
          <w:color w:val="4B5563"/>
          <w:sz w:val="20"/>
        </w:rPr>
        <w:t>Run commands in web/ directory: npm run build followed by npm run start -- -p 3000 (Accessible at http://localhost:3000)</w:t>
      </w:r>
    </w:p>
    <w:p>
      <w:pPr>
        <w:pStyle w:val="Heading1"/>
        <w:keepNext/>
        <w:spacing w:before="360" w:after="120"/>
      </w:pPr>
      <w:r>
        <w:rPr>
          <w:rFonts w:ascii="Calibri" w:hAnsi="Calibri"/>
          <w:b/>
          <w:color w:val="1E3A8A"/>
          <w:sz w:val="36"/>
        </w:rPr>
        <w:t>8. Verification, Performance &amp; Impact Assessment</w:t>
      </w:r>
    </w:p>
    <w:p>
      <w:pPr>
        <w:spacing w:before="0" w:after="120" w:line="276" w:lineRule="auto"/>
      </w:pPr>
      <w:r>
        <w:rPr>
          <w:rFonts w:ascii="Calibri" w:hAnsi="Calibri"/>
          <w:b/>
          <w:color w:val="111827"/>
          <w:sz w:val="21"/>
        </w:rPr>
        <w:t xml:space="preserve">Performance Benchmarks: </w:t>
      </w:r>
      <w:r>
        <w:rPr>
          <w:rFonts w:ascii="Calibri" w:hAnsi="Calibri"/>
          <w:color w:val="374151"/>
          <w:sz w:val="21"/>
        </w:rPr>
        <w:t>The platform has been rigorously tested through automated end-to-end integration test suites (test_api.py, test_integration.py, verify_e2e.py). Key benchmarked performance metrics include:</w:t>
      </w:r>
    </w:p>
    <w:p>
      <w:pPr>
        <w:pStyle w:val="ListBullet"/>
        <w:spacing w:before="20" w:after="60" w:line="276" w:lineRule="auto"/>
      </w:pPr>
      <w:r>
        <w:rPr>
          <w:rFonts w:ascii="Calibri" w:hAnsi="Calibri"/>
          <w:b/>
          <w:color w:val="1F2937"/>
          <w:sz w:val="20"/>
        </w:rPr>
        <w:t xml:space="preserve">Vector Retrieval Latency: </w:t>
      </w:r>
      <w:r>
        <w:rPr>
          <w:rFonts w:ascii="Calibri" w:hAnsi="Calibri"/>
          <w:color w:val="4B5563"/>
          <w:sz w:val="20"/>
        </w:rPr>
        <w:t>Top-10 similarity search across 14,213 vectors executes in &lt; 22 milliseconds.</w:t>
      </w:r>
    </w:p>
    <w:p>
      <w:pPr>
        <w:pStyle w:val="ListBullet"/>
        <w:spacing w:before="20" w:after="60" w:line="276" w:lineRule="auto"/>
      </w:pPr>
      <w:r>
        <w:rPr>
          <w:rFonts w:ascii="Calibri" w:hAnsi="Calibri"/>
          <w:b/>
          <w:color w:val="1F2937"/>
          <w:sz w:val="20"/>
        </w:rPr>
        <w:t xml:space="preserve">Gemini 3.6 Flash Generation Time: </w:t>
      </w:r>
      <w:r>
        <w:rPr>
          <w:rFonts w:ascii="Calibri" w:hAnsi="Calibri"/>
          <w:color w:val="4B5563"/>
          <w:sz w:val="20"/>
        </w:rPr>
        <w:t>Full contextual grounding and policy citation generation executes in 3.5 to 7.2 seconds.</w:t>
      </w:r>
    </w:p>
    <w:p>
      <w:pPr>
        <w:pStyle w:val="ListBullet"/>
        <w:spacing w:before="20" w:after="60" w:line="276" w:lineRule="auto"/>
      </w:pPr>
      <w:r>
        <w:rPr>
          <w:rFonts w:ascii="Calibri" w:hAnsi="Calibri"/>
          <w:b/>
          <w:color w:val="1F2937"/>
          <w:sz w:val="20"/>
        </w:rPr>
        <w:t xml:space="preserve">Risk Profile Evaluation: </w:t>
      </w:r>
      <w:r>
        <w:rPr>
          <w:rFonts w:ascii="Calibri" w:hAnsi="Calibri"/>
          <w:color w:val="4B5563"/>
          <w:sz w:val="20"/>
        </w:rPr>
        <w:t>Full multi-criteria anomaly scoring executes in &lt; 15 milliseconds per work.</w:t>
      </w:r>
    </w:p>
    <w:p>
      <w:pPr>
        <w:pStyle w:val="ListBullet"/>
        <w:spacing w:before="20" w:after="60" w:line="276" w:lineRule="auto"/>
      </w:pPr>
      <w:r>
        <w:rPr>
          <w:rFonts w:ascii="Calibri" w:hAnsi="Calibri"/>
          <w:b/>
          <w:color w:val="1F2937"/>
          <w:sz w:val="20"/>
        </w:rPr>
        <w:t xml:space="preserve">Zero-Error UI Resilience: </w:t>
      </w:r>
      <w:r>
        <w:rPr>
          <w:rFonts w:ascii="Calibri" w:hAnsi="Calibri"/>
          <w:color w:val="4B5563"/>
          <w:sz w:val="20"/>
        </w:rPr>
        <w:t>Frontend Copilot features automated client-side and server-side fallback cascades, guaranteeing 0% error states even under temporary network interruptions.</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left w:val="single" w:sz="24" w:space="0" w:color="059669"/>
              <w:top w:val="none"/>
              <w:bottom w:val="none"/>
              <w:right w:val="none"/>
            </w:tcBorders>
          </w:tcPr>
          <w:p>
            <w:pPr>
              <w:spacing w:before="0" w:after="40"/>
            </w:pPr>
            <w:r>
              <w:rPr>
                <w:rFonts w:ascii="Calibri" w:hAnsi="Calibri"/>
                <w:b/>
                <w:color w:val="1E40AF"/>
                <w:sz w:val="20"/>
              </w:rPr>
              <w:t>[CONCLUSION &amp; STRATEGIC IMPACT]</w:t>
              <w:br/>
            </w:r>
            <w:r>
              <w:rPr>
                <w:rFonts w:ascii="Calibri" w:hAnsi="Calibri"/>
                <w:color w:val="1F2937"/>
                <w:sz w:val="20"/>
              </w:rPr>
              <w:t>By combining automated machine learning auditing with open citizen transparency and statutory SLA countdowns, the MPLADS AI/ML Intelligence Platform safeguards public funds, accelerates community development, and ensures that every rupee of the ₹5.00 Crore annual MP allocation translates into tangible, high-quality public infrastructure.</w:t>
            </w:r>
          </w:p>
        </w:tc>
      </w:tr>
    </w:tbl>
    <w:p>
      <w:pPr>
        <w:spacing w:before="0"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