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Search RAG Technical Report</w:t>
      </w:r>
    </w:p>
    <w:p>
      <w:r>
        <w:t>This project searches the supplied job listings and returns relevant jobs with quoted source evidence. It includes the required RAG pipeline and FastAPI endpoint, plus hybrid search and a cross-encoder reranker. All models run locally without a paid model API. The results below describe development checks; independent human relevance review remains future work.</w:t>
      </w:r>
    </w:p>
    <w:p>
      <w:r>
        <w:t xml:space="preserve">Repository: </w:t>
      </w:r>
      <w:hyperlink r:id="rId9">
        <w:r>
          <w:rPr>
            <w:color w:val="175DA8"/>
          </w:rPr>
          <w:t>https://github.com/nihal8866/job-search-rag</w:t>
        </w:r>
      </w:hyperlink>
      <w:r/>
    </w:p>
    <w:p>
      <w:r>
        <w:t>Report prepared October 30, 2026. Recorded model and environment checks were run on October 28 and 29, 2026.</w:t>
      </w:r>
    </w:p>
    <w:p>
      <w:pPr>
        <w:pStyle w:val="Heading1"/>
      </w:pPr>
      <w:r>
        <w:t>1 Problem and data</w:t>
      </w:r>
    </w:p>
    <w:p>
      <w:r>
        <w:t>The goal is to search the supplied job listings and answer questions using their source evidence. The input is data/raw/LF Jobs.xlsx: 1,000 listings, nine columns, 145 companies, and seven job categories. Descriptions contain HTML.</w:t>
      </w:r>
    </w:p>
    <w:p>
      <w:r>
        <w:t>There are nine missing locations, 880 missing tag values, and no repeated job IDs or fully duplicated rows. All descriptions remain nonempty after cleaning. All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t>2 Data preparation and search</w:t>
      </w:r>
    </w:p>
    <w:p>
      <w:r>
        <w:t>The offline path prepares a persistent index:</w:t>
      </w:r>
    </w:p>
    <w:p>
      <w:pPr>
        <w:pStyle w:val="ReportCode"/>
        <w:keepLines/>
      </w:pPr>
      <w:r>
        <w:t>Excel workbook -&gt; HTML cleaning -&gt; overlapping chunks</w:t>
        <w:br/>
        <w:t xml:space="preserve">              -&gt; multilingual embeddings -&gt; Chroma</w:t>
      </w:r>
    </w:p>
    <w:p>
      <w:r>
        <w:t>The query path combines semantic and keyword matches:</w:t>
      </w:r>
    </w:p>
    <w:p>
      <w:pPr>
        <w:pStyle w:val="ReportCode"/>
        <w:keepLines/>
      </w:pPr>
      <w:r>
        <w:t>Question and optional location filter</w:t>
        <w:br/>
        <w:t xml:space="preserve">  -&gt; vector search and BM25 -&gt; RRF -&gt; cross-encoder reranking</w:t>
        <w:br/>
        <w:t xml:space="preserve">  -&gt; distinct jobs -&gt; local Qwen evidence selection</w:t>
        <w:br/>
        <w:t xml:space="preserve">  -&gt; checked source quotes and job ID citations</w:t>
      </w:r>
    </w:p>
    <w:p>
      <w:r>
        <w:t>BeautifulSoup removes HTML while the original description and date strings are retained. Descriptions are split into 384-token windows with 48-token overlap. This produces 3,618 chunks covering all jobs.</w:t>
      </w:r>
    </w:p>
    <w:p>
      <w: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t>GPU encoding produces normalized vectors with shape (3618, 384). Checks cover finite values, unit norms, unique chunk IDs, job coverage, and saved-file alignment. Reload checks compare both values and missing-value positions.</w:t>
      </w:r>
    </w:p>
    <w:p>
      <w: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t>An explicit location filter restricts both retrievers before their result limits. It uses case-insensitive literal matching against recorded location strings. It does not infer geography, aliases, or remote eligibility from the question.</w:t>
      </w:r>
    </w:p>
    <w:p>
      <w:pPr>
        <w:pStyle w:val="Heading2"/>
      </w:pPr>
      <w:r>
        <w:t>Reasons for the main choices</w:t>
      </w:r>
    </w:p>
    <w:p>
      <w:r>
        <w:t>Multilingual E5 supports a dataset containing English, Chinese, and Japanese text. Its small variant fits the available machine, and token-based chunking keeps long descriptions within its input limit. Overlap retains some context around boundaries, although it can repeat evidence and split sentences.</w:t>
      </w:r>
    </w:p>
    <w:p>
      <w:r>
        <w:t>Chroma provides a local persistent vector store without a hosted database. BM25 complements semantic retrieval with exact terms such as programming languages. Reciprocal Rank Fusion (RRF) combines rank positions instead of directly mixing incompatible vector and BM25 score scales. A cross-encoder examines each candidate together with the question, at a higher latency cost. The small evaluation below does not establish a general quality gain from it.</w:t>
      </w:r>
    </w:p>
    <w:p>
      <w: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t>3 Local answers</w:t>
      </w:r>
    </w:p>
    <w:p>
      <w:r>
        <w:t>The answer model is qwen3:4b-instruct-2507-q4_K_M through local Ollama. Early free-form answers overstated skills and produced incorrect inline citations. Prompt-only revisions did not reliably fix those errors.</w:t>
      </w:r>
    </w:p>
    <w:p>
      <w: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t>4 Setup and API</w:t>
      </w:r>
    </w:p>
    <w:p>
      <w:r>
        <w:t>The tested machine uses Windows, Python 3.10.11, and an RTX 4060 Laptop GPU with 8 GB VRAM. Ingestion and notebooks use CUDA. The API uses CPU retrieval to leave GPU memory for Ollama. It runs locally without a paid API or model API key.</w:t>
      </w:r>
    </w:p>
    <w:p>
      <w: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keepNext/>
        <w:pageBreakBefore/>
      </w:pPr>
      <w:r>
        <w:t>POST /api/query accepts:</w:t>
      </w:r>
    </w:p>
    <w:p>
      <w:pPr>
        <w:pStyle w:val="ReportCode"/>
        <w:keepLines/>
      </w:pPr>
      <w:r>
        <w:t>{</w:t>
        <w:br/>
        <w:t xml:space="preserve">  "query": "Python backend developer working with APIs and databases",</w:t>
        <w:br/>
        <w:t xml:space="preserve">  "top_k": 2</w:t>
        <w:br/>
        <w:t>}</w:t>
      </w:r>
    </w:p>
    <w:p>
      <w:r>
        <w:t>top_k defaults to 2 and accepts 1-5. An optional location field applies the filter. The response includes answer, cited_job_ids, jobs with source text/chunk IDs/scores, and normalized request fields. Missing metadata becomes JSON null.</w:t>
      </w:r>
    </w:p>
    <w:p>
      <w: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pPr>
      <w:r>
        <w:t>Installation from the repository</w:t>
      </w:r>
    </w:p>
    <w:p>
      <w: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
        <w:t>Run in PowerShell:</w:t>
      </w:r>
    </w:p>
    <w:p>
      <w:pPr>
        <w:pStyle w:val="ReportCode"/>
        <w:keepLines/>
      </w:pPr>
      <w:r>
        <w:t>git clone https://github.com/nihal8866/job-search-rag.git</w:t>
        <w:br/>
        <w:t>cd job-search-rag</w:t>
        <w:br/>
        <w:t>python -m venv .venv</w:t>
        <w:br/>
        <w:t>.\.venv\Scripts\Activate.ps1</w:t>
        <w:br/>
        <w:t>python -m pip --isolated install --index-url https://pypi.org/simple -r requirements-dev.txt</w:t>
        <w:br/>
        <w:t>python -m pip --isolated install --no-build-isolation --no-deps -e .</w:t>
        <w:br/>
        <w:t>python -m pip check</w:t>
        <w:br/>
        <w:t>job-rag ingest</w:t>
      </w:r>
    </w:p>
    <w:p>
      <w: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t>Download the selected local answer model once:</w:t>
      </w:r>
    </w:p>
    <w:p>
      <w:pPr>
        <w:pStyle w:val="ReportCode"/>
        <w:keepLines/>
      </w:pPr>
      <w:r>
        <w:t>ollama pull qwen3:4b-instruct-2507-q4_K_M</w:t>
      </w:r>
    </w:p>
    <w:p>
      <w:r>
        <w:t>Quit any already running Ollama tray app before starting a manually configured server. In a separate PowerShell terminal, run:</w:t>
      </w:r>
    </w:p>
    <w:p>
      <w:pPr>
        <w:pStyle w:val="ReportCode"/>
        <w:keepLines/>
      </w:pPr>
      <w:r>
        <w:t>$env:OLLAMA_NO_CLOUD = "1"</w:t>
        <w:br/>
        <w:t>ollama serve</w:t>
      </w:r>
    </w:p>
    <w:p>
      <w:r>
        <w:t>The first line disables Ollama cloud features for this terminal's server process. The second starts the local model server; leave that terminal running. Do not start a second server if one is already serving on port 11434.</w:t>
      </w:r>
    </w:p>
    <w:p>
      <w:r>
        <w:t>In the activated project terminal, start the API:</w:t>
      </w:r>
    </w:p>
    <w:p>
      <w:pPr>
        <w:pStyle w:val="ReportCode"/>
        <w:keepLines/>
      </w:pPr>
      <w:r>
        <w:t>python -m uvicorn job_rag.api:app --host 127.0.0.1 --port 8000 --workers 1</w:t>
      </w:r>
    </w:p>
    <w:p>
      <w:r>
        <w:t xml:space="preserve">This loads the FastAPI application with one worker, listening only on this computer. After startup completes, open </w:t>
      </w:r>
      <w:hyperlink r:id="rId10">
        <w:r>
          <w:rPr>
            <w:color w:val="175DA8"/>
          </w:rPr>
          <w:t>http://127.0.0.1:8000/docs</w:t>
        </w:r>
      </w:hyperlink>
      <w:r>
        <w:t>.</w:t>
      </w:r>
      <w: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pPr>
      <w:r>
        <w:t>Recorded requests and responses</w:t>
      </w:r>
    </w:p>
    <w:p>
      <w:r>
        <w:t>The following examples come from the actual October 29 API run.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r>
        <w:t>Example request with a location filter:</w:t>
      </w:r>
    </w:p>
    <w:p>
      <w:pPr>
        <w:pStyle w:val="ReportCode"/>
        <w:keepLines/>
      </w:pPr>
      <w:r>
        <w:t>{</w:t>
        <w:br/>
        <w:t xml:space="preserve">  "query": "Python backend developer working with databases",</w:t>
        <w:br/>
        <w:t xml:space="preserve">  "location": "sInGaPoRe",</w:t>
        <w:br/>
        <w:t xml:space="preserve">  "top_k": 2</w:t>
        <w:br/>
        <w:t>}</w:t>
      </w:r>
    </w:p>
    <w:p>
      <w:r>
        <w:t>Observed HTTP 200 response fields:</w:t>
      </w:r>
    </w:p>
    <w:p>
      <w:pPr>
        <w:pStyle w:val="ReportCode"/>
        <w:keepLines/>
      </w:pPr>
      <w:r>
        <w:t>{</w:t>
        <w:br/>
        <w:t xml:space="preserve">  "query": "Python backend developer working with databases",</w:t>
        <w:br/>
        <w:t xml:space="preserve">  "location_filter": "sInGaPoRe",</w:t>
        <w:br/>
        <w:t xml:space="preserve">  "cited_job_ids": ["LF0247", "LF0175"]</w:t>
        <w:br/>
        <w:t>}</w:t>
      </w:r>
    </w:p>
    <w:p>
      <w:r>
        <w:t>The first result was Backend Software Engineer - Global E-commerce (Governance Service), TikTok, Singapore, job LF0247. Its answer included these exact lines:</w:t>
      </w:r>
    </w:p>
    <w:p>
      <w:pPr>
        <w:pStyle w:val="ReportQuote"/>
      </w:pPr>
      <w:r>
        <w:t>- Candidate should have at least 5 years of experience in developing highly scalable backend services and systems using at least one of the following programming languages: Java, Golang, or Python.</w:t>
      </w:r>
    </w:p>
    <w:p>
      <w:pPr>
        <w:pStyle w:val="ReportQuote"/>
      </w:pPr>
      <w:r>
        <w:t>- In-depth knowledge of common databases and messaging frameworks such as MySQL, Redis, Kafka, and MQ is required.</w:t>
      </w:r>
    </w:p>
    <w:p>
      <w:r>
        <w:t>The second result was Solutions Engineer, TikTok Ads, job LF0175. Its selected evidence supported only part of the question. This distinction matters: the API returns ranked evidence, not a guarantee that every result meets every condition.</w:t>
      </w:r>
    </w:p>
    <w:p>
      <w:r>
        <w:t>Example request with an unknown location:</w:t>
      </w:r>
    </w:p>
    <w:p>
      <w:pPr>
        <w:pStyle w:val="ReportCode"/>
        <w:keepLines/>
      </w:pPr>
      <w:r>
        <w:t>{</w:t>
        <w:br/>
        <w:t xml:space="preserve">  "query": "Python developer",</w:t>
        <w:br/>
        <w:t xml:space="preserve">  "location": "NO_SUCH_LOCATION_000",</w:t>
        <w:br/>
        <w:t xml:space="preserve">  "top_k": 2</w:t>
        <w:br/>
        <w:t>}</w:t>
      </w:r>
    </w:p>
    <w:p>
      <w:r>
        <w:t>Observed complete HTTP 200 response:</w:t>
      </w:r>
    </w:p>
    <w:p>
      <w:pPr>
        <w:pStyle w:val="ReportCode"/>
        <w:keepLines/>
      </w:pPr>
      <w:r>
        <w:t>{</w:t>
        <w:br/>
        <w:t xml:space="preserve">  "query": "Python developer",</w:t>
        <w:br/>
        <w:t xml:space="preserve">  "location_filter": "NO_SUCH_LOCATION_000",</w:t>
        <w:br/>
        <w:t xml:space="preserve">  "answer": "No jobs were retrieved for the requested search and filters.",</w:t>
        <w:br/>
        <w:t xml:space="preserve">  "cited_job_ids": [],</w:t>
        <w:br/>
        <w:t xml:space="preserve">  "jobs": []</w:t>
        <w:br/>
        <w:t>}</w:t>
      </w:r>
    </w:p>
    <w:p>
      <w: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Pr>
      <w:r>
        <w:t>5 Evaluation</w:t>
      </w:r>
    </w:p>
    <w:p>
      <w: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9EEF2"/>
          </w:tcPr>
          <w:p>
            <w:pPr>
              <w:spacing w:after="40" w:line="245" w:lineRule="auto"/>
              <w:jc w:val="left"/>
            </w:pPr>
            <w:r>
              <w:rPr>
                <w:b/>
                <w:sz w:val="21"/>
              </w:rPr>
              <w:t>Method</w:t>
            </w:r>
          </w:p>
        </w:tc>
        <w:tc>
          <w:tcPr>
            <w:tcW w:type="dxa" w:w="1440"/>
            <w:vAlign w:val="center"/>
            <w:tcMar>
              <w:top w:w="95" w:type="dxa"/>
              <w:left w:w="95" w:type="dxa"/>
              <w:bottom w:w="95" w:type="dxa"/>
              <w:right w:w="95" w:type="dxa"/>
            </w:tcMar>
            <w:shd w:fill="E9EEF2"/>
          </w:tcPr>
          <w:p>
            <w:pPr>
              <w:spacing w:after="40" w:line="245" w:lineRule="auto"/>
              <w:jc w:val="center"/>
            </w:pPr>
            <w:r>
              <w:rPr>
                <w:b/>
                <w:sz w:val="21"/>
              </w:rPr>
              <w:t>Target first</w:t>
            </w:r>
          </w:p>
        </w:tc>
        <w:tc>
          <w:tcPr>
            <w:tcW w:type="dxa" w:w="1584"/>
            <w:vAlign w:val="center"/>
            <w:tcMar>
              <w:top w:w="95" w:type="dxa"/>
              <w:left w:w="95" w:type="dxa"/>
              <w:bottom w:w="95" w:type="dxa"/>
              <w:right w:w="95" w:type="dxa"/>
            </w:tcMar>
            <w:shd w:fill="E9EEF2"/>
          </w:tcPr>
          <w:p>
            <w:pPr>
              <w:spacing w:after="40" w:line="245" w:lineRule="auto"/>
              <w:jc w:val="center"/>
            </w:pPr>
            <w:r>
              <w:rPr>
                <w:b/>
                <w:sz w:val="21"/>
              </w:rPr>
              <w:t>Target in top five</w:t>
            </w:r>
          </w:p>
        </w:tc>
        <w:tc>
          <w:tcPr>
            <w:tcW w:type="dxa" w:w="1224"/>
            <w:vAlign w:val="center"/>
            <w:tcMar>
              <w:top w:w="95" w:type="dxa"/>
              <w:left w:w="95" w:type="dxa"/>
              <w:bottom w:w="95" w:type="dxa"/>
              <w:right w:w="95" w:type="dxa"/>
            </w:tcMar>
            <w:shd w:fill="E9EEF2"/>
          </w:tcPr>
          <w:p>
            <w:pPr>
              <w:spacing w:after="40" w:line="245" w:lineRule="auto"/>
              <w:jc w:val="center"/>
            </w:pPr>
            <w:r>
              <w:rPr>
                <w:b/>
                <w:sz w:val="21"/>
              </w:rPr>
              <w:t>MRR@5</w:t>
            </w:r>
          </w:p>
        </w:tc>
        <w:tc>
          <w:tcPr>
            <w:tcW w:type="dxa" w:w="2736"/>
            <w:vAlign w:val="center"/>
            <w:tcMar>
              <w:top w:w="95" w:type="dxa"/>
              <w:left w:w="95" w:type="dxa"/>
              <w:bottom w:w="95" w:type="dxa"/>
              <w:right w:w="95" w:type="dxa"/>
            </w:tcMar>
            <w:shd w:fill="E9EEF2"/>
          </w:tcPr>
          <w:p>
            <w:pPr>
              <w:spacing w:after="40" w:line="245" w:lineRule="auto"/>
              <w:jc w:val="center"/>
            </w:pPr>
            <w:r>
              <w:rPr>
                <w:b/>
                <w:sz w:val="21"/>
              </w:rPr>
              <w:t>Mean retrieval seconds</w:t>
            </w:r>
          </w:p>
        </w:tc>
      </w:tr>
      <w:tr>
        <w:trPr>
          <w:cantSplit/>
        </w:trPr>
        <w:tc>
          <w:tcPr>
            <w:tcW w:type="dxa" w:w="2952"/>
            <w:vAlign w:val="center"/>
            <w:tcMar>
              <w:top w:w="95" w:type="dxa"/>
              <w:left w:w="95" w:type="dxa"/>
              <w:bottom w:w="95" w:type="dxa"/>
              <w:right w:w="95" w:type="dxa"/>
            </w:tcMar>
          </w:tcPr>
          <w:p>
            <w:pPr>
              <w:spacing w:after="40" w:line="245" w:lineRule="auto"/>
              <w:jc w:val="left"/>
            </w:pPr>
            <w:r>
              <w:rPr>
                <w:b w:val="0"/>
                <w:sz w:val="21"/>
              </w:rPr>
              <w:t>Vector</w:t>
            </w:r>
          </w:p>
        </w:tc>
        <w:tc>
          <w:tcPr>
            <w:tcW w:type="dxa" w:w="1440"/>
            <w:vAlign w:val="center"/>
            <w:tcMar>
              <w:top w:w="95" w:type="dxa"/>
              <w:left w:w="95" w:type="dxa"/>
              <w:bottom w:w="95" w:type="dxa"/>
              <w:right w:w="95" w:type="dxa"/>
            </w:tcMar>
          </w:tcPr>
          <w:p>
            <w:pPr>
              <w:spacing w:after="40" w:line="245" w:lineRule="auto"/>
              <w:jc w:val="center"/>
            </w:pPr>
            <w:r>
              <w:rPr>
                <w:b w:val="0"/>
                <w:sz w:val="21"/>
              </w:rPr>
              <w:t>8/8</w:t>
            </w:r>
          </w:p>
        </w:tc>
        <w:tc>
          <w:tcPr>
            <w:tcW w:type="dxa" w:w="1584"/>
            <w:vAlign w:val="center"/>
            <w:tcMar>
              <w:top w:w="95" w:type="dxa"/>
              <w:left w:w="95" w:type="dxa"/>
              <w:bottom w:w="95" w:type="dxa"/>
              <w:right w:w="95" w:type="dxa"/>
            </w:tcMar>
          </w:tcPr>
          <w:p>
            <w:pPr>
              <w:spacing w:after="40" w:line="245" w:lineRule="auto"/>
              <w:jc w:val="center"/>
            </w:pPr>
            <w:r>
              <w:rPr>
                <w:b w:val="0"/>
                <w:sz w:val="21"/>
              </w:rPr>
              <w:t>8/8</w:t>
            </w:r>
          </w:p>
        </w:tc>
        <w:tc>
          <w:tcPr>
            <w:tcW w:type="dxa" w:w="1224"/>
            <w:vAlign w:val="center"/>
            <w:tcMar>
              <w:top w:w="95" w:type="dxa"/>
              <w:left w:w="95" w:type="dxa"/>
              <w:bottom w:w="95" w:type="dxa"/>
              <w:right w:w="95" w:type="dxa"/>
            </w:tcMar>
          </w:tcPr>
          <w:p>
            <w:pPr>
              <w:spacing w:after="40" w:line="245" w:lineRule="auto"/>
              <w:jc w:val="center"/>
            </w:pPr>
            <w:r>
              <w:rPr>
                <w:b w:val="0"/>
                <w:sz w:val="21"/>
              </w:rPr>
              <w:t>1.0000</w:t>
            </w:r>
          </w:p>
        </w:tc>
        <w:tc>
          <w:tcPr>
            <w:tcW w:type="dxa" w:w="2736"/>
            <w:vAlign w:val="center"/>
            <w:tcMar>
              <w:top w:w="95" w:type="dxa"/>
              <w:left w:w="95" w:type="dxa"/>
              <w:bottom w:w="95" w:type="dxa"/>
              <w:right w:w="95" w:type="dxa"/>
            </w:tcMar>
          </w:tcPr>
          <w:p>
            <w:pPr>
              <w:spacing w:after="40" w:line="245" w:lineRule="auto"/>
              <w:jc w:val="center"/>
            </w:pPr>
            <w:r>
              <w:rPr>
                <w:b w:val="0"/>
                <w:sz w:val="21"/>
              </w:rPr>
              <w:t>0.122</w:t>
            </w:r>
          </w:p>
        </w:tc>
      </w:tr>
      <w:tr>
        <w:trPr>
          <w:cantSplit/>
        </w:trPr>
        <w:tc>
          <w:tcPr>
            <w:tcW w:type="dxa" w:w="2952"/>
            <w:vAlign w:val="center"/>
            <w:tcMar>
              <w:top w:w="95" w:type="dxa"/>
              <w:left w:w="95" w:type="dxa"/>
              <w:bottom w:w="95" w:type="dxa"/>
              <w:right w:w="95" w:type="dxa"/>
            </w:tcMar>
          </w:tcPr>
          <w:p>
            <w:pPr>
              <w:spacing w:after="40" w:line="245" w:lineRule="auto"/>
              <w:jc w:val="left"/>
            </w:pPr>
            <w:r>
              <w:rPr>
                <w:b w:val="0"/>
                <w:sz w:val="21"/>
              </w:rPr>
              <w:t>Hybrid</w:t>
            </w:r>
          </w:p>
        </w:tc>
        <w:tc>
          <w:tcPr>
            <w:tcW w:type="dxa" w:w="1440"/>
            <w:vAlign w:val="center"/>
            <w:tcMar>
              <w:top w:w="95" w:type="dxa"/>
              <w:left w:w="95" w:type="dxa"/>
              <w:bottom w:w="95" w:type="dxa"/>
              <w:right w:w="95" w:type="dxa"/>
            </w:tcMar>
          </w:tcPr>
          <w:p>
            <w:pPr>
              <w:spacing w:after="40" w:line="245" w:lineRule="auto"/>
              <w:jc w:val="center"/>
            </w:pPr>
            <w:r>
              <w:rPr>
                <w:b w:val="0"/>
                <w:sz w:val="21"/>
              </w:rPr>
              <w:t>8/8</w:t>
            </w:r>
          </w:p>
        </w:tc>
        <w:tc>
          <w:tcPr>
            <w:tcW w:type="dxa" w:w="1584"/>
            <w:vAlign w:val="center"/>
            <w:tcMar>
              <w:top w:w="95" w:type="dxa"/>
              <w:left w:w="95" w:type="dxa"/>
              <w:bottom w:w="95" w:type="dxa"/>
              <w:right w:w="95" w:type="dxa"/>
            </w:tcMar>
          </w:tcPr>
          <w:p>
            <w:pPr>
              <w:spacing w:after="40" w:line="245" w:lineRule="auto"/>
              <w:jc w:val="center"/>
            </w:pPr>
            <w:r>
              <w:rPr>
                <w:b w:val="0"/>
                <w:sz w:val="21"/>
              </w:rPr>
              <w:t>8/8</w:t>
            </w:r>
          </w:p>
        </w:tc>
        <w:tc>
          <w:tcPr>
            <w:tcW w:type="dxa" w:w="1224"/>
            <w:vAlign w:val="center"/>
            <w:tcMar>
              <w:top w:w="95" w:type="dxa"/>
              <w:left w:w="95" w:type="dxa"/>
              <w:bottom w:w="95" w:type="dxa"/>
              <w:right w:w="95" w:type="dxa"/>
            </w:tcMar>
          </w:tcPr>
          <w:p>
            <w:pPr>
              <w:spacing w:after="40" w:line="245" w:lineRule="auto"/>
              <w:jc w:val="center"/>
            </w:pPr>
            <w:r>
              <w:rPr>
                <w:b w:val="0"/>
                <w:sz w:val="21"/>
              </w:rPr>
              <w:t>1.0000</w:t>
            </w:r>
          </w:p>
        </w:tc>
        <w:tc>
          <w:tcPr>
            <w:tcW w:type="dxa" w:w="2736"/>
            <w:vAlign w:val="center"/>
            <w:tcMar>
              <w:top w:w="95" w:type="dxa"/>
              <w:left w:w="95" w:type="dxa"/>
              <w:bottom w:w="95" w:type="dxa"/>
              <w:right w:w="95" w:type="dxa"/>
            </w:tcMar>
          </w:tcPr>
          <w:p>
            <w:pPr>
              <w:spacing w:after="40" w:line="245" w:lineRule="auto"/>
              <w:jc w:val="center"/>
            </w:pPr>
            <w:r>
              <w:rPr>
                <w:b w:val="0"/>
                <w:sz w:val="21"/>
              </w:rPr>
              <w:t>0.173</w:t>
            </w:r>
          </w:p>
        </w:tc>
      </w:tr>
      <w:tr>
        <w:trPr>
          <w:cantSplit/>
        </w:trPr>
        <w:tc>
          <w:tcPr>
            <w:tcW w:type="dxa" w:w="2952"/>
            <w:vAlign w:val="center"/>
            <w:tcMar>
              <w:top w:w="95" w:type="dxa"/>
              <w:left w:w="95" w:type="dxa"/>
              <w:bottom w:w="95" w:type="dxa"/>
              <w:right w:w="95" w:type="dxa"/>
            </w:tcMar>
          </w:tcPr>
          <w:p>
            <w:pPr>
              <w:spacing w:after="40" w:line="245" w:lineRule="auto"/>
              <w:jc w:val="left"/>
            </w:pPr>
            <w:r>
              <w:rPr>
                <w:b w:val="0"/>
                <w:sz w:val="21"/>
              </w:rPr>
              <w:t>Hybrid + reranker</w:t>
            </w:r>
          </w:p>
        </w:tc>
        <w:tc>
          <w:tcPr>
            <w:tcW w:type="dxa" w:w="1440"/>
            <w:vAlign w:val="center"/>
            <w:tcMar>
              <w:top w:w="95" w:type="dxa"/>
              <w:left w:w="95" w:type="dxa"/>
              <w:bottom w:w="95" w:type="dxa"/>
              <w:right w:w="95" w:type="dxa"/>
            </w:tcMar>
          </w:tcPr>
          <w:p>
            <w:pPr>
              <w:spacing w:after="40" w:line="245" w:lineRule="auto"/>
              <w:jc w:val="center"/>
            </w:pPr>
            <w:r>
              <w:rPr>
                <w:b w:val="0"/>
                <w:sz w:val="21"/>
              </w:rPr>
              <w:t>7/8</w:t>
            </w:r>
          </w:p>
        </w:tc>
        <w:tc>
          <w:tcPr>
            <w:tcW w:type="dxa" w:w="1584"/>
            <w:vAlign w:val="center"/>
            <w:tcMar>
              <w:top w:w="95" w:type="dxa"/>
              <w:left w:w="95" w:type="dxa"/>
              <w:bottom w:w="95" w:type="dxa"/>
              <w:right w:w="95" w:type="dxa"/>
            </w:tcMar>
          </w:tcPr>
          <w:p>
            <w:pPr>
              <w:spacing w:after="40" w:line="245" w:lineRule="auto"/>
              <w:jc w:val="center"/>
            </w:pPr>
            <w:r>
              <w:rPr>
                <w:b w:val="0"/>
                <w:sz w:val="21"/>
              </w:rPr>
              <w:t>8/8</w:t>
            </w:r>
          </w:p>
        </w:tc>
        <w:tc>
          <w:tcPr>
            <w:tcW w:type="dxa" w:w="1224"/>
            <w:vAlign w:val="center"/>
            <w:tcMar>
              <w:top w:w="95" w:type="dxa"/>
              <w:left w:w="95" w:type="dxa"/>
              <w:bottom w:w="95" w:type="dxa"/>
              <w:right w:w="95" w:type="dxa"/>
            </w:tcMar>
          </w:tcPr>
          <w:p>
            <w:pPr>
              <w:spacing w:after="40" w:line="245" w:lineRule="auto"/>
              <w:jc w:val="center"/>
            </w:pPr>
            <w:r>
              <w:rPr>
                <w:b w:val="0"/>
                <w:sz w:val="21"/>
              </w:rPr>
              <w:t>0.9375</w:t>
            </w:r>
          </w:p>
        </w:tc>
        <w:tc>
          <w:tcPr>
            <w:tcW w:type="dxa" w:w="2736"/>
            <w:vAlign w:val="center"/>
            <w:tcMar>
              <w:top w:w="95" w:type="dxa"/>
              <w:left w:w="95" w:type="dxa"/>
              <w:bottom w:w="95" w:type="dxa"/>
              <w:right w:w="95" w:type="dxa"/>
            </w:tcMar>
          </w:tcPr>
          <w:p>
            <w:pPr>
              <w:spacing w:after="40" w:line="245" w:lineRule="auto"/>
              <w:jc w:val="center"/>
            </w:pPr>
            <w:r>
              <w:rPr>
                <w:b w:val="0"/>
                <w:sz w:val="21"/>
              </w:rPr>
              <w:t>6.476</w:t>
            </w:r>
          </w:p>
        </w:tc>
      </w:tr>
    </w:tbl>
    <w:p>
      <w:pPr>
        <w:spacing w:after="0"/>
      </w:pPr>
    </w:p>
    <w:p>
      <w:r>
        <w:t>The displaced target was behind another relevant meal-plan internship. This small set does not show a general improvement from either optional enhancement. Timing is one CUDA run excluding startup and generation, not a repeated benchmark.</w:t>
      </w:r>
    </w:p>
    <w:p>
      <w: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t>6 Reproducibility</w:t>
      </w:r>
    </w:p>
    <w:p>
      <w:r>
        <w:t>All four notebooks completed in separate fresh kernels on October 28. On October 29, a new Python 3.10.11 environment with no system site-packages installed the development requirements and editable package. pip check and all 106 tests passed.</w:t>
      </w:r>
    </w:p>
    <w:p>
      <w: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t>7 Limitations and further work</w:t>
      </w:r>
    </w:p>
    <w:p>
      <w: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t>8 Assumptions and submission</w:t>
      </w:r>
    </w:p>
    <w:p>
      <w:r>
        <w:t>The supplied workbook is the source of job information. The assignment's isolated diabetes-classification sentence is treated as a copy-paste error; the implementation follows its job-RAG requirements. Both optional enhancements are included.</w:t>
      </w:r>
    </w:p>
    <w:p>
      <w: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pgSz w:w="12240" w:h="15840"/>
      <w:pgMar w:top="1080" w:right="1152" w:bottom="1080"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240" w:lineRule="auto"/>
      <w:ind w:left="216"/>
    </w:pPr>
    <w:rPr>
      <w:rFonts w:ascii="Consolas" w:hAnsi="Consolas"/>
      <w:color w:val="000000"/>
      <w:sz w:val="19"/>
    </w:rPr>
  </w:style>
  <w:style w:type="paragraph" w:customStyle="1" w:styleId="ReportQuote">
    <w:name w:val="Report Quote"/>
    <w:basedOn w:val="Normal"/>
    <w:pPr>
      <w:keepLines/>
      <w:spacing w:before="60" w:after="140" w:line="259" w:lineRule="auto"/>
      <w:ind w:left="216"/>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