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Arial" w:cs="Arial" w:eastAsia="Arial" w:hAnsi="Arial"/>
          <w:color w:val="888888"/>
          <w:spacing w:val="200"/>
          <w:sz w:val="13"/>
          <w:szCs w:val="13"/>
        </w:rPr>
        <w:t xml:space="preserve">ENGINEERING WORK TRIAL</w:t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2D6A4F"/>
          <w:sz w:val="28"/>
          <w:szCs w:val="28"/>
        </w:rPr>
        <w:t xml:space="preserve">FreshCart — Online Grocery Delivery Platform</w:t>
      </w:r>
    </w:p>
    <w:p>
      <w:pPr>
        <w:pBdr>
          <w:bottom w:val="single" w:color="2D6A4F" w:sz="4" w:space="4"/>
        </w:pBdr>
        <w:spacing w:after="80"/>
        <w:jc w:val="center"/>
      </w:pPr>
      <w:r>
        <w:rPr>
          <w:rFonts w:ascii="Arial" w:cs="Arial" w:eastAsia="Arial" w:hAnsi="Arial"/>
          <w:color w:val="777777"/>
          <w:sz w:val="16"/>
          <w:szCs w:val="16"/>
        </w:rPr>
        <w:t xml:space="preserve">Local Machine  ·  Minikube / Kind</w:t>
      </w:r>
    </w:p>
    <w:p>
      <w:pPr>
        <w:spacing w:after="80" w:before="0"/>
      </w:pPr>
      <w:r>
        <w:rPr>
          <w:rFonts w:ascii="Arial" w:cs="Arial" w:eastAsia="Arial" w:hAnsi="Arial"/>
          <w:sz w:val="17"/>
          <w:szCs w:val="17"/>
        </w:rPr>
        <w:t xml:space="preserve">FreshCart is a fictional online grocery startup that lets customers browse fresh produce, pantry staples, and prepared meals, then place orders for same-day delivery. The company has outgrown its monolith and your job is to rebuild the backend as a set of microservices. Think of it like building the engine behind a smaller-scale Instacart or FreshDirect — a customer opens the app, browses categories like 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"Organic Vegetables"</w:t>
      </w:r>
      <w:r>
        <w:rPr>
          <w:rFonts w:ascii="Arial" w:cs="Arial" w:eastAsia="Arial" w:hAnsi="Arial"/>
          <w:sz w:val="17"/>
          <w:szCs w:val="17"/>
        </w:rPr>
        <w:t xml:space="preserve"> or 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"Ready-to-Cook Meal Kits"</w:t>
      </w:r>
      <w:r>
        <w:rPr>
          <w:rFonts w:ascii="Arial" w:cs="Arial" w:eastAsia="Arial" w:hAnsi="Arial"/>
          <w:sz w:val="17"/>
          <w:szCs w:val="17"/>
        </w:rPr>
        <w:t xml:space="preserve">, adds items to a cart, and places an order. Behind the scenes, the system must check inventory at the warehouse, process the payment, update stock levels in real time, and fire off a confirmation notification — all within seconds, all reliably, and all observable when something goes wrong.</w:t>
      </w:r>
    </w:p>
    <w:p>
      <w:pPr>
        <w:spacing w:after="80" w:before="0"/>
      </w:pPr>
      <w:r>
        <w:rPr>
          <w:rFonts w:ascii="Arial" w:cs="Arial" w:eastAsia="Arial" w:hAnsi="Arial"/>
          <w:sz w:val="17"/>
          <w:szCs w:val="17"/>
        </w:rPr>
        <w:t xml:space="preserve">The catch: FreshCart sells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perishable goods</w:t>
      </w:r>
      <w:r>
        <w:rPr>
          <w:rFonts w:ascii="Arial" w:cs="Arial" w:eastAsia="Arial" w:hAnsi="Arial"/>
          <w:sz w:val="17"/>
          <w:szCs w:val="17"/>
        </w:rPr>
        <w:t xml:space="preserve">. If the Order Service confirms a purchase but the Product Service fails to decrement inventory, a customer gets promised avocados that are already sold out. If the Notification Service crashes and nobody gets a confirmation email, support tickets pile up. If a database goes down during the Saturday morning rush, the entire platform goes dark. This is why we need proper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saga orchestration</w:t>
      </w:r>
      <w:r>
        <w:rPr>
          <w:rFonts w:ascii="Arial" w:cs="Arial" w:eastAsia="Arial" w:hAnsi="Arial"/>
          <w:sz w:val="17"/>
          <w:szCs w:val="17"/>
        </w:rPr>
        <w:t xml:space="preserve"> for order flows,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circuit breakers</w:t>
      </w:r>
      <w:r>
        <w:rPr>
          <w:rFonts w:ascii="Arial" w:cs="Arial" w:eastAsia="Arial" w:hAnsi="Arial"/>
          <w:sz w:val="17"/>
          <w:szCs w:val="17"/>
        </w:rPr>
        <w:t xml:space="preserve"> so one failing service doesn’t cascade,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dead letter queues</w:t>
      </w:r>
      <w:r>
        <w:rPr>
          <w:rFonts w:ascii="Arial" w:cs="Arial" w:eastAsia="Arial" w:hAnsi="Arial"/>
          <w:sz w:val="17"/>
          <w:szCs w:val="17"/>
        </w:rPr>
        <w:t xml:space="preserve"> so no message is silently lost, and a full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observability stack</w:t>
      </w:r>
      <w:r>
        <w:rPr>
          <w:rFonts w:ascii="Arial" w:cs="Arial" w:eastAsia="Arial" w:hAnsi="Arial"/>
          <w:sz w:val="17"/>
          <w:szCs w:val="17"/>
        </w:rPr>
        <w:t xml:space="preserve"> so engineers can trace a single avocado order from the moment a customer clicks 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"Place Order"</w:t>
      </w:r>
      <w:r>
        <w:rPr>
          <w:rFonts w:ascii="Arial" w:cs="Arial" w:eastAsia="Arial" w:hAnsi="Arial"/>
          <w:sz w:val="17"/>
          <w:szCs w:val="17"/>
        </w:rPr>
        <w:t xml:space="preserve"> all the way through to the delivery notification.</w:t>
      </w:r>
    </w:p>
    <w:p>
      <w:pPr>
        <w:spacing w:after="80" w:before="60"/>
      </w:pPr>
      <w:r>
        <w:rPr>
          <w:rFonts w:ascii="Arial" w:cs="Arial" w:eastAsia="Arial" w:hAnsi="Arial"/>
          <w:sz w:val="17"/>
          <w:szCs w:val="17"/>
        </w:rPr>
        <w:t xml:space="preserve">You will build five services, each with its own database, running in Docker containers and deployed to a local Kubernetes cluster: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1300"/>
        <w:gridCol w:w="444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It Does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Database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FreshCart Context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API Gateway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Auth, rate limiting, routing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Redis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Front door — mobile app and website hit this first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User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Registration, login, JWT tokens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PostgreSQL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Customer accounts, delivery addresses, preferences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Product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Catalog CRUD, search, inventory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PostgreSQL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Grocery items: produce, dairy, meal kits with live stock counts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Order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Order placement, state machine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PostgreSQL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Cart → checkout → payment → packing → delivery tracking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Notification Svc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Event-driven alerts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MongoDB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Order confirmed, out for delivery, delivered emails (simulated)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sz w:val="17"/>
          <w:szCs w:val="17"/>
        </w:rPr>
        <w:t xml:space="preserve">The Gateway talks to User and Product services over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REST</w:t>
      </w:r>
      <w:r>
        <w:rPr>
          <w:rFonts w:ascii="Arial" w:cs="Arial" w:eastAsia="Arial" w:hAnsi="Arial"/>
          <w:sz w:val="17"/>
          <w:szCs w:val="17"/>
        </w:rPr>
        <w:t xml:space="preserve"> (synchronous), while the Order Service publishes events to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RabbitMQ</w:t>
      </w:r>
      <w:r>
        <w:rPr>
          <w:rFonts w:ascii="Arial" w:cs="Arial" w:eastAsia="Arial" w:hAnsi="Arial"/>
          <w:sz w:val="17"/>
          <w:szCs w:val="17"/>
        </w:rPr>
        <w:t xml:space="preserve"> (asynchronous) that the Notification and Product services consume. When a customer places an order for a 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"Weekend BBQ Kit"</w:t>
      </w:r>
      <w:r>
        <w:rPr>
          <w:rFonts w:ascii="Arial" w:cs="Arial" w:eastAsia="Arial" w:hAnsi="Arial"/>
          <w:sz w:val="17"/>
          <w:szCs w:val="17"/>
        </w:rPr>
        <w:t xml:space="preserve">, the Order Service runs a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saga</w:t>
      </w:r>
      <w:r>
        <w:rPr>
          <w:rFonts w:ascii="Arial" w:cs="Arial" w:eastAsia="Arial" w:hAnsi="Arial"/>
          <w:sz w:val="17"/>
          <w:szCs w:val="17"/>
        </w:rPr>
        <w:t xml:space="preserve">: reserve inventory → simulate payment → confirm order. If payment fails, it fires a compensating transaction to release the reserved stock. Every service exposes </w:t>
      </w:r>
      <w:r>
        <w:rPr>
          <w:rFonts w:ascii="Courier New" w:cs="Courier New" w:eastAsia="Courier New" w:hAnsi="Courier New"/>
          <w:color w:val="B7410E"/>
          <w:sz w:val="16"/>
          <w:szCs w:val="16"/>
        </w:rPr>
        <w:t xml:space="preserve">/health</w:t>
      </w:r>
      <w:r>
        <w:rPr>
          <w:rFonts w:ascii="Arial" w:cs="Arial" w:eastAsia="Arial" w:hAnsi="Arial"/>
          <w:sz w:val="17"/>
          <w:szCs w:val="17"/>
        </w:rPr>
        <w:t xml:space="preserve"> and </w:t>
      </w:r>
      <w:r>
        <w:rPr>
          <w:rFonts w:ascii="Courier New" w:cs="Courier New" w:eastAsia="Courier New" w:hAnsi="Courier New"/>
          <w:color w:val="B7410E"/>
          <w:sz w:val="16"/>
          <w:szCs w:val="16"/>
        </w:rPr>
        <w:t xml:space="preserve">/ready</w:t>
      </w:r>
      <w:r>
        <w:rPr>
          <w:rFonts w:ascii="Arial" w:cs="Arial" w:eastAsia="Arial" w:hAnsi="Arial"/>
          <w:sz w:val="17"/>
          <w:szCs w:val="17"/>
        </w:rPr>
        <w:t xml:space="preserve"> endpoints, emits structured JSON logs with a </w:t>
      </w:r>
      <w:r>
        <w:rPr>
          <w:rFonts w:ascii="Arial" w:cs="Arial" w:eastAsia="Arial" w:hAnsi="Arial"/>
          <w:b/>
          <w:bCs/>
          <w:sz w:val="17"/>
          <w:szCs w:val="17"/>
        </w:rPr>
        <w:t xml:space="preserve">correlation ID</w:t>
      </w:r>
      <w:r>
        <w:rPr>
          <w:rFonts w:ascii="Arial" w:cs="Arial" w:eastAsia="Arial" w:hAnsi="Arial"/>
          <w:sz w:val="17"/>
          <w:szCs w:val="17"/>
        </w:rPr>
        <w:t xml:space="preserve"> that flows across every call, and exports Prometheus metrics and OpenTelemetry traces.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Docker: </w:t>
      </w:r>
      <w:r>
        <w:rPr>
          <w:rFonts w:ascii="Arial" w:cs="Arial" w:eastAsia="Arial" w:hAnsi="Arial"/>
          <w:sz w:val="17"/>
          <w:szCs w:val="17"/>
        </w:rPr>
        <w:t xml:space="preserve">Multi-stage Dockerfiles, non-root containers, Alpine base images, security scanning with trivy. A </w:t>
      </w:r>
      <w:r>
        <w:rPr>
          <w:rFonts w:ascii="Courier New" w:cs="Courier New" w:eastAsia="Courier New" w:hAnsi="Courier New"/>
          <w:color w:val="B7410E"/>
          <w:sz w:val="16"/>
          <w:szCs w:val="16"/>
        </w:rPr>
        <w:t xml:space="preserve">docker-compose.yml</w:t>
      </w:r>
      <w:r>
        <w:rPr>
          <w:rFonts w:ascii="Arial" w:cs="Arial" w:eastAsia="Arial" w:hAnsi="Arial"/>
          <w:sz w:val="17"/>
          <w:szCs w:val="17"/>
        </w:rPr>
        <w:t xml:space="preserve"> boots everything locally — all services, three Postgres instances, MongoDB, Redis, RabbitMQ, plus the full observability stack.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Kubernetes: </w:t>
      </w:r>
      <w:r>
        <w:rPr>
          <w:rFonts w:ascii="Arial" w:cs="Arial" w:eastAsia="Arial" w:hAnsi="Arial"/>
          <w:sz w:val="17"/>
          <w:szCs w:val="17"/>
        </w:rPr>
        <w:t xml:space="preserve">Deploy to Minikube or Kind with Helm charts. Each service gets a Deployment (2+ replicas), HPA on the Gateway and Order Service, PodDisruptionBudgets, liveness/readiness probes, ConfigMaps, Secrets, and NetworkPolicies isolating namespaces (</w:t>
      </w:r>
      <w:r>
        <w:rPr>
          <w:rFonts w:ascii="Courier New" w:cs="Courier New" w:eastAsia="Courier New" w:hAnsi="Courier New"/>
          <w:color w:val="B7410E"/>
          <w:sz w:val="16"/>
          <w:szCs w:val="16"/>
        </w:rPr>
        <w:t xml:space="preserve">ecommerce</w:t>
      </w:r>
      <w:r>
        <w:rPr>
          <w:rFonts w:ascii="Arial" w:cs="Arial" w:eastAsia="Arial" w:hAnsi="Arial"/>
          <w:sz w:val="17"/>
          <w:szCs w:val="17"/>
        </w:rPr>
        <w:t xml:space="preserve">, </w:t>
      </w:r>
      <w:r>
        <w:rPr>
          <w:rFonts w:ascii="Courier New" w:cs="Courier New" w:eastAsia="Courier New" w:hAnsi="Courier New"/>
          <w:color w:val="B7410E"/>
          <w:sz w:val="16"/>
          <w:szCs w:val="16"/>
        </w:rPr>
        <w:t xml:space="preserve">ecommerce-data</w:t>
      </w:r>
      <w:r>
        <w:rPr>
          <w:rFonts w:ascii="Arial" w:cs="Arial" w:eastAsia="Arial" w:hAnsi="Arial"/>
          <w:sz w:val="17"/>
          <w:szCs w:val="17"/>
        </w:rPr>
        <w:t xml:space="preserve">, </w:t>
      </w:r>
      <w:r>
        <w:rPr>
          <w:rFonts w:ascii="Courier New" w:cs="Courier New" w:eastAsia="Courier New" w:hAnsi="Courier New"/>
          <w:color w:val="B7410E"/>
          <w:sz w:val="16"/>
          <w:szCs w:val="16"/>
        </w:rPr>
        <w:t xml:space="preserve">observability</w:t>
      </w:r>
      <w:r>
        <w:rPr>
          <w:rFonts w:ascii="Arial" w:cs="Arial" w:eastAsia="Arial" w:hAnsi="Arial"/>
          <w:sz w:val="17"/>
          <w:szCs w:val="17"/>
        </w:rPr>
        <w:t xml:space="preserve">).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Observability: </w:t>
      </w:r>
      <w:r>
        <w:rPr>
          <w:rFonts w:ascii="Arial" w:cs="Arial" w:eastAsia="Arial" w:hAnsi="Arial"/>
          <w:sz w:val="17"/>
          <w:szCs w:val="17"/>
        </w:rPr>
        <w:t xml:space="preserve">Promtail → Loki → Grafana for centralized logging. Prometheus scraping RED metrics plus business metrics (</w:t>
      </w:r>
      <w:r>
        <w:rPr>
          <w:rFonts w:ascii="Courier New" w:cs="Courier New" w:eastAsia="Courier New" w:hAnsi="Courier New"/>
          <w:color w:val="B7410E"/>
          <w:sz w:val="16"/>
          <w:szCs w:val="16"/>
        </w:rPr>
        <w:t xml:space="preserve">orders_created_total</w:t>
      </w:r>
      <w:r>
        <w:rPr>
          <w:rFonts w:ascii="Arial" w:cs="Arial" w:eastAsia="Arial" w:hAnsi="Arial"/>
          <w:sz w:val="17"/>
          <w:szCs w:val="17"/>
        </w:rPr>
        <w:t xml:space="preserve">, </w:t>
      </w:r>
      <w:r>
        <w:rPr>
          <w:rFonts w:ascii="Courier New" w:cs="Courier New" w:eastAsia="Courier New" w:hAnsi="Courier New"/>
          <w:color w:val="B7410E"/>
          <w:sz w:val="16"/>
          <w:szCs w:val="16"/>
        </w:rPr>
        <w:t xml:space="preserve">inventory_level</w:t>
      </w:r>
      <w:r>
        <w:rPr>
          <w:rFonts w:ascii="Arial" w:cs="Arial" w:eastAsia="Arial" w:hAnsi="Arial"/>
          <w:sz w:val="17"/>
          <w:szCs w:val="17"/>
        </w:rPr>
        <w:t xml:space="preserve">, </w:t>
      </w:r>
      <w:r>
        <w:rPr>
          <w:rFonts w:ascii="Courier New" w:cs="Courier New" w:eastAsia="Courier New" w:hAnsi="Courier New"/>
          <w:color w:val="B7410E"/>
          <w:sz w:val="16"/>
          <w:szCs w:val="16"/>
        </w:rPr>
        <w:t xml:space="preserve">circuit_breaker_state</w:t>
      </w:r>
      <w:r>
        <w:rPr>
          <w:rFonts w:ascii="Arial" w:cs="Arial" w:eastAsia="Arial" w:hAnsi="Arial"/>
          <w:sz w:val="17"/>
          <w:szCs w:val="17"/>
        </w:rPr>
        <w:t xml:space="preserve">) with 3 pre-built Grafana dashboards and 4 alert rules. OpenTelemetry → Jaeger/Tempo for distributed tracing across REST and RabbitMQ boundaries — we want to see a single trace follow an order from the Gateway through every service.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Resilience: </w:t>
      </w:r>
      <w:r>
        <w:rPr>
          <w:rFonts w:ascii="Arial" w:cs="Arial" w:eastAsia="Arial" w:hAnsi="Arial"/>
          <w:sz w:val="17"/>
          <w:szCs w:val="17"/>
        </w:rPr>
        <w:t xml:space="preserve">Circuit breakers, retry with exponential backoff and jitter, 5-second timeouts, bulkheading, and dead letter queues. Then prove it works: </w:t>
      </w:r>
      <w:r>
        <w:rPr>
          <w:rFonts w:ascii="Courier New" w:cs="Courier New" w:eastAsia="Courier New" w:hAnsi="Courier New"/>
          <w:color w:val="B7410E"/>
          <w:sz w:val="16"/>
          <w:szCs w:val="16"/>
        </w:rPr>
        <w:t xml:space="preserve">make chaos</w:t>
      </w:r>
      <w:r>
        <w:rPr>
          <w:rFonts w:ascii="Arial" w:cs="Arial" w:eastAsia="Arial" w:hAnsi="Arial"/>
          <w:sz w:val="17"/>
          <w:szCs w:val="17"/>
        </w:rPr>
        <w:t xml:space="preserve"> kills pods, partitions networks, crashes databases, and floods endpoints with 100 concurrent requests. The system must recover. </w:t>
      </w:r>
      <w:r>
        <w:rPr>
          <w:rFonts w:ascii="Courier New" w:cs="Courier New" w:eastAsia="Courier New" w:hAnsi="Courier New"/>
          <w:color w:val="B7410E"/>
          <w:sz w:val="16"/>
          <w:szCs w:val="16"/>
        </w:rPr>
        <w:t xml:space="preserve">make loadtest</w:t>
      </w:r>
      <w:r>
        <w:rPr>
          <w:rFonts w:ascii="Arial" w:cs="Arial" w:eastAsia="Arial" w:hAnsi="Arial"/>
          <w:sz w:val="17"/>
          <w:szCs w:val="17"/>
        </w:rPr>
        <w:t xml:space="preserve"> runs sustained, spike, and soak scenarios with p50/p95/p99 output.</w:t>
      </w:r>
    </w:p>
    <w:p>
      <w:pPr>
        <w:spacing w:after="80" w:before="40"/>
      </w:pPr>
      <w:r>
        <w:rPr>
          <w:rFonts w:ascii="Arial" w:cs="Arial" w:eastAsia="Arial" w:hAnsi="Arial"/>
          <w:sz w:val="17"/>
          <w:szCs w:val="17"/>
        </w:rPr>
        <w:t xml:space="preserve">Everything must boot from zero with a single </w:t>
      </w:r>
      <w:r>
        <w:rPr>
          <w:rFonts w:ascii="Courier New" w:cs="Courier New" w:eastAsia="Courier New" w:hAnsi="Courier New"/>
          <w:color w:val="B7410E"/>
          <w:sz w:val="16"/>
          <w:szCs w:val="16"/>
        </w:rPr>
        <w:t xml:space="preserve">make boot</w:t>
      </w:r>
      <w:r>
        <w:rPr>
          <w:rFonts w:ascii="Arial" w:cs="Arial" w:eastAsia="Arial" w:hAnsi="Arial"/>
          <w:sz w:val="17"/>
          <w:szCs w:val="17"/>
        </w:rPr>
        <w:t xml:space="preserve"> command. If it doesn’t boot, we don’t review it. Submit a private repo and a 5-minute screen recording showing the boot, an order placed end-to-end, the Grafana dashboard reacting, a Jaeger trace spanning all services, and centralized logs filtered by correlation ID. We evaluate: service design (15%), Docker (10%), Kubernetes (20%), logging (10%), metrics and alerting (15%), tracing (10%), resilience (10%), code quality (5%), documentation (5%). Auto-disqualification for: no </w:t>
      </w:r>
      <w:r>
        <w:rPr>
          <w:rFonts w:ascii="Courier New" w:cs="Courier New" w:eastAsia="Courier New" w:hAnsi="Courier New"/>
          <w:color w:val="B7410E"/>
          <w:sz w:val="16"/>
          <w:szCs w:val="16"/>
        </w:rPr>
        <w:t xml:space="preserve">make boot</w:t>
      </w:r>
      <w:r>
        <w:rPr>
          <w:rFonts w:ascii="Arial" w:cs="Arial" w:eastAsia="Arial" w:hAnsi="Arial"/>
          <w:sz w:val="17"/>
          <w:szCs w:val="17"/>
        </w:rPr>
        <w:t xml:space="preserve">, no structured logs, no K8s manifests, no health endpoints, or plagiarized code.</w:t>
      </w:r>
    </w:p>
    <w:p>
      <w:pPr>
        <w:spacing w:before="6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2D6A4F" w:sz="2"/>
              <w:left w:val="single" w:color="2D6A4F" w:sz="8"/>
              <w:bottom w:val="single" w:color="2D6A4F" w:sz="2"/>
              <w:right w:val="single" w:color="2D6A4F" w:sz="2"/>
            </w:tcBorders>
            <w:shd w:fill="2D6A4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Partial completion with high quality beats rushed full completion. Show us how you think, prioritize, and build under pressure.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2026-02-26T17:15:59.570Z</dcterms:created>
  <dcterms:modified xsi:type="dcterms:W3CDTF">2026-02-26T17:15:59.571Z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