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33544A"/>
          <w:sz w:val="30"/>
          <w:szCs w:val="30"/>
        </w:rPr>
        <w:t xml:space="preserve">Risks and Challenges</w:t>
      </w:r>
    </w:p>
    <w:p>
      <w:pPr>
        <w:spacing w:line="312"/>
        <w:jc w:val="both"/>
      </w:pPr>
      <w:r>
        <w:rPr>
          <w:rFonts w:ascii="Times New Roman"/>
          <w:color w:val="333333"/>
          <w:sz w:val="24"/>
          <w:szCs w:val="24"/>
        </w:rPr>
        <w:t xml:space="preserve">Cross-team efficiency rose and delivery lead times shortened versus last quarter. The business delivered steady growth this quarter, with core KPIs on target. We recommend expanding channel investment and rebalancing resourcing to sustain growth.</w:t>
      </w:r>
    </w:p>
    <w:p>
      <w:pPr>
        <w:pStyle w:val="Heading1"/>
        <w:spacing w:after="120" w:before="240" w:line="312"/>
      </w:pPr>
      <w:r>
        <w:rPr>
          <w:rFonts w:ascii="Arial"/>
          <w:b/>
          <w:bCs/>
          <w:color w:val="33544A"/>
          <w:sz w:val="30"/>
          <w:szCs w:val="30"/>
        </w:rPr>
        <w:t xml:space="preserve">Summary and Recommendations</w:t>
      </w:r>
    </w:p>
    <w:p>
      <w:pPr>
        <w:spacing w:line="312"/>
        <w:jc w:val="both"/>
      </w:pPr>
      <w:r>
        <w:rPr>
          <w:rFonts w:ascii="Times New Roman"/>
          <w:color w:val="333333"/>
          <w:sz w:val="24"/>
          <w:szCs w:val="24"/>
        </w:rPr>
        <w:t xml:space="preserve">We recommend expanding channel investment and rebalancing resourcing to sustain growth. The business delivered steady growth this quarter, with core KPIs on target. Cost pressure and regional competition remain the principal risks to monitor.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33544A"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33544A"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446</w:t>
            </w:r>
          </w:p>
        </w:tc>
        <w:tc>
          <w:tcPr>
            <w:shd w:fill="FFFFFF" w:val="clear"/>
            <w:tcMar>
              <w:top w:type="dxa" w:w="80"/>
              <w:left w:type="dxa" w:w="150"/>
              <w:bottom w:type="dxa" w:w="80"/>
              <w:right w:type="dxa" w:w="150"/>
            </w:tcMar>
          </w:tcPr>
          <w:p>
            <w:pPr>
              <w:spacing w:line="312"/>
            </w:pPr>
            <w:r>
              <w:rPr>
                <w:rFonts w:ascii="Times New Roman"/>
                <w:sz w:val="21"/>
                <w:szCs w:val="21"/>
              </w:rPr>
              <w:t xml:space="preserve">22.7%</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Engineering</w:t>
            </w:r>
          </w:p>
        </w:tc>
        <w:tc>
          <w:tcPr>
            <w:shd w:fill="E3EFE7" w:val="clear"/>
            <w:tcMar>
              <w:top w:type="dxa" w:w="80"/>
              <w:left w:type="dxa" w:w="150"/>
              <w:bottom w:type="dxa" w:w="80"/>
              <w:right w:type="dxa" w:w="150"/>
            </w:tcMar>
          </w:tcPr>
          <w:p>
            <w:pPr>
              <w:spacing w:line="312"/>
            </w:pPr>
            <w:r>
              <w:rPr>
                <w:rFonts w:ascii="Times New Roman"/>
                <w:sz w:val="21"/>
                <w:szCs w:val="21"/>
              </w:rPr>
              <w:t xml:space="preserve">198</w:t>
            </w:r>
          </w:p>
        </w:tc>
        <w:tc>
          <w:tcPr>
            <w:shd w:fill="E3EFE7" w:val="clear"/>
            <w:tcMar>
              <w:top w:type="dxa" w:w="80"/>
              <w:left w:type="dxa" w:w="150"/>
              <w:bottom w:type="dxa" w:w="80"/>
              <w:right w:type="dxa" w:w="150"/>
            </w:tcMar>
          </w:tcPr>
          <w:p>
            <w:pPr>
              <w:spacing w:line="312"/>
            </w:pPr>
            <w:r>
              <w:rPr>
                <w:rFonts w:ascii="Times New Roman"/>
                <w:sz w:val="21"/>
                <w:szCs w:val="21"/>
              </w:rPr>
              <w:t xml:space="preserve">35.0%</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552</w:t>
            </w:r>
          </w:p>
        </w:tc>
        <w:tc>
          <w:tcPr>
            <w:shd w:fill="FFFFFF" w:val="clear"/>
            <w:tcMar>
              <w:top w:type="dxa" w:w="80"/>
              <w:left w:type="dxa" w:w="150"/>
              <w:bottom w:type="dxa" w:w="80"/>
              <w:right w:type="dxa" w:w="150"/>
            </w:tcMar>
          </w:tcPr>
          <w:p>
            <w:pPr>
              <w:spacing w:line="312"/>
            </w:pPr>
            <w:r>
              <w:rPr>
                <w:rFonts w:ascii="Times New Roman"/>
                <w:sz w:val="21"/>
                <w:szCs w:val="21"/>
              </w:rPr>
              <w:t xml:space="preserve">41.4%</w:t>
            </w:r>
          </w:p>
        </w:tc>
      </w:tr>
      <w:tr>
        <w:trPr>
          <w:cantSplit/>
        </w:trPr>
        <w:tc>
          <w:tcPr>
            <w:shd w:fill="E3EFE7" w:val="clear"/>
            <w:tcMar>
              <w:top w:type="dxa" w:w="80"/>
              <w:left w:type="dxa" w:w="150"/>
              <w:bottom w:type="dxa" w:w="80"/>
              <w:right w:type="dxa" w:w="150"/>
            </w:tcMar>
          </w:tcPr>
          <w:p>
            <w:pPr>
              <w:spacing w:line="312"/>
            </w:pPr>
            <w:r>
              <w:rPr>
                <w:rFonts w:ascii="Times New Roman"/>
                <w:sz w:val="21"/>
                <w:szCs w:val="21"/>
              </w:rPr>
              <w:t xml:space="preserve">Marketing</w:t>
            </w:r>
          </w:p>
        </w:tc>
        <w:tc>
          <w:tcPr>
            <w:shd w:fill="E3EFE7" w:val="clear"/>
            <w:tcMar>
              <w:top w:type="dxa" w:w="80"/>
              <w:left w:type="dxa" w:w="150"/>
              <w:bottom w:type="dxa" w:w="80"/>
              <w:right w:type="dxa" w:w="150"/>
            </w:tcMar>
          </w:tcPr>
          <w:p>
            <w:pPr>
              <w:spacing w:line="312"/>
            </w:pPr>
            <w:r>
              <w:rPr>
                <w:rFonts w:ascii="Times New Roman"/>
                <w:sz w:val="21"/>
                <w:szCs w:val="21"/>
              </w:rPr>
              <w:t xml:space="preserve">842</w:t>
            </w:r>
          </w:p>
        </w:tc>
        <w:tc>
          <w:tcPr>
            <w:shd w:fill="E3EFE7" w:val="clear"/>
            <w:tcMar>
              <w:top w:type="dxa" w:w="80"/>
              <w:left w:type="dxa" w:w="150"/>
              <w:bottom w:type="dxa" w:w="80"/>
              <w:right w:type="dxa" w:w="150"/>
            </w:tcMar>
          </w:tcPr>
          <w:p>
            <w:pPr>
              <w:spacing w:line="312"/>
            </w:pPr>
            <w:r>
              <w:rPr>
                <w:rFonts w:ascii="Times New Roman"/>
                <w:sz w:val="21"/>
                <w:szCs w:val="21"/>
              </w:rPr>
              <w:t xml:space="preserve">16.9%</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Nimbus Storage</w:t>
            </w:r>
          </w:p>
        </w:tc>
        <w:tc>
          <w:tcPr>
            <w:shd w:fill="FFFFFF" w:val="clear"/>
            <w:tcMar>
              <w:top w:type="dxa" w:w="80"/>
              <w:left w:type="dxa" w:w="150"/>
              <w:bottom w:type="dxa" w:w="80"/>
              <w:right w:type="dxa" w:w="150"/>
            </w:tcMar>
          </w:tcPr>
          <w:p>
            <w:pPr>
              <w:spacing w:line="312"/>
            </w:pPr>
            <w:r>
              <w:rPr>
                <w:rFonts w:ascii="Times New Roman"/>
                <w:sz w:val="21"/>
                <w:szCs w:val="21"/>
              </w:rPr>
              <w:t xml:space="preserve">309</w:t>
            </w:r>
          </w:p>
        </w:tc>
        <w:tc>
          <w:tcPr>
            <w:shd w:fill="FFFFFF" w:val="clear"/>
            <w:tcMar>
              <w:top w:type="dxa" w:w="80"/>
              <w:left w:type="dxa" w:w="150"/>
              <w:bottom w:type="dxa" w:w="80"/>
              <w:right w:type="dxa" w:w="150"/>
            </w:tcMar>
          </w:tcPr>
          <w:p>
            <w:pPr>
              <w:spacing w:line="312"/>
            </w:pPr>
            <w:r>
              <w:rPr>
                <w:rFonts w:ascii="Times New Roman"/>
                <w:sz w:val="21"/>
                <w:szCs w:val="21"/>
              </w:rPr>
              <w:t xml:space="preserve">43.9%</w:t>
            </w:r>
          </w:p>
        </w:tc>
      </w:tr>
    </w:tbl>
    <w:p>
      <w:pPr>
        <w:pStyle w:val="Heading1"/>
        <w:spacing w:after="120" w:before="240" w:line="312"/>
      </w:pPr>
      <w:r>
        <w:rPr>
          <w:rFonts w:ascii="Arial"/>
          <w:b/>
          <w:bCs/>
          <w:color w:val="33544A"/>
          <w:sz w:val="30"/>
          <w:szCs w:val="30"/>
        </w:rPr>
        <w:t xml:space="preserve">Next-Step Plan</w:t>
      </w:r>
    </w:p>
    <w:p>
      <w:pPr>
        <w:spacing w:line="312"/>
        <w:jc w:val="both"/>
      </w:pPr>
      <w:r>
        <w:rPr>
          <w:rFonts w:ascii="Times New Roman"/>
          <w:color w:val="333333"/>
          <w:sz w:val="24"/>
          <w:szCs w:val="24"/>
        </w:rPr>
        <w:t xml:space="preserve">Cross-team efficiency rose and delivery lead times shortened versus last quarter. We recommend expanding channel investment and rebalancing resourcing to sustain growth. Revenue concentration in the main product line increased and retention improved.</w:t>
      </w:r>
    </w:p>
    <w:p>
      <w:pPr>
        <w:pStyle w:val="Heading1"/>
        <w:spacing w:after="120" w:before="240" w:line="312"/>
      </w:pPr>
      <w:r>
        <w:rPr>
          <w:rFonts w:ascii="Arial"/>
          <w:b/>
          <w:bCs/>
          <w:color w:val="33544A"/>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Cost pressure and regional competition remain the principal risks to monitor.</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2026-10-08T13:31:43.922Z</dcterms:created>
  <dcterms:modified xsi:type="dcterms:W3CDTF">2026-10-08T13:31:43.922Z</dcterms:modified>
</cp:coreProperties>
</file>

<file path=docProps/custom.xml><?xml version="1.0" encoding="utf-8"?>
<Properties xmlns="http://schemas.openxmlformats.org/officeDocument/2006/custom-properties" xmlns:vt="http://schemas.openxmlformats.org/officeDocument/2006/docPropsVTypes"/>
</file>