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-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x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Revenue concentration in the main product line increased and retention improved. We recommend expanding channel investment and rebalancing resourcing to sustain growth. Cross-team efficiency rose and delivery lead times shortened versus last quarter.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