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spacing w:line="312" w:lineRule="auto"/>
      </w:pPr>
      <w:r>
        <w:t xml:space="preserve"> </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pStyle w:val="Heading2"/>
        <w:spacing w:line="312" w:lineRule="auto"/>
      </w:pPr>
      <w:r>
        <w:rPr>
          <w:b/>
        </w:rPr>
        <w:t>Data Analysis</w:t>
      </w:r>
    </w:p>
    <w:p>
      <w:pPr>
        <w:spacing w:line="312" w:lineRule="auto"/>
      </w:pPr>
      <w:r>
        <w:t>The business delivered steady growth this quarter, with core KPIs on target. Cost pressure and regional competition remain the principal risks to monitor. We recommend expanding channel investment and rebalancing resourcing to sustain growth.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