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12" w:lineRule="auto"/>
      </w:pPr>
      <w:r>
        <w:rPr>
          <w:b/>
        </w:rPr>
        <w:t>Department Quarterly Summary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-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f</w:t>
      </w:r>
    </w:p>
    <w:p>
      <w:pPr>
        <w:spacing w:line="312" w:lineRule="auto"/>
      </w:pPr>
      <w:r>
        <w:t>f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q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b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q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,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K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.</w:t>
      </w:r>
    </w:p>
    <w:p>
      <w:pPr>
        <w:pStyle w:val="Heading2"/>
        <w:spacing w:line="312" w:lineRule="auto"/>
      </w:pPr>
      <w:r>
        <w:rPr>
          <w:b/>
        </w:rPr>
        <w:t>Data Analysis</w:t>
      </w:r>
    </w:p>
    <w:p>
      <w:pPr>
        <w:spacing w:line="312" w:lineRule="auto"/>
      </w:pPr>
      <w:r>
        <w:t>We recommend expanding channel investment and rebalancing resourcing to sustain growth. Cross-team efficiency rose and delivery lead times shortened versus last quarter. Revenue concentration in the main product line increased and retention improved.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