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line="312"/>
      </w:pPr>
      <w:r>
        <w:rPr>
          <w:rFonts w:ascii="Arial"/>
          <w:b/>
          <w:bCs/>
          <w:color w:val="1F4E79"/>
          <w:sz w:val="30"/>
          <w:szCs w:val="30"/>
        </w:rPr>
        <w:t xml:space="preserve">Performance Analysis</w:t>
      </w:r>
    </w:p>
    <w:p>
      <w:pPr>
        <w:spacing w:line="312"/>
        <w:jc w:val="both"/>
      </w:pPr>
      <w:r>
        <w:rPr>
          <w:rFonts w:ascii="Times New Roman"/>
          <w:color w:val="333333"/>
          <w:sz w:val="24"/>
          <w:szCs w:val="24"/>
        </w:rPr>
        <w:t xml:space="preserve">Cross-team efficiency rose and delivery lead times shortened versus last quarter. The business delivered steady growth this quarter, with core KPIs on target. We recommend expanding channel investment and rebalancing resourcing to sustain growth.</w:t>
      </w:r>
    </w:p>
    <w:p>
      <w:pPr>
        <w:pStyle w:val="Heading1"/>
        <w:spacing w:after="120" w:before="240" w:line="312"/>
      </w:pPr>
      <w:r>
        <w:rPr>
          <w:rFonts w:ascii="Arial"/>
          <w:b/>
          <w:bCs/>
          <w:color w:val="1F4E79"/>
          <w:sz w:val="30"/>
          <w:szCs w:val="30"/>
        </w:rPr>
        <w:t xml:space="preserve">Executive Overview</w:t>
      </w:r>
    </w:p>
    <w:p>
      <w:pPr>
        <w:spacing w:line="312"/>
        <w:jc w:val="both"/>
      </w:pPr>
      <w:r>
        <w:rPr>
          <w:rFonts w:ascii="Times New Roman"/>
          <w:color w:val="333333"/>
          <w:sz w:val="24"/>
          <w:szCs w:val="24"/>
        </w:rPr>
        <w:t xml:space="preserve">Cost pressure and regional competition remain the principal risks to monitor. The business delivered steady growth this quarter, with core KPIs on target. Cross-team efficiency rose and delivery lead times shortened versus last quarter.</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769"/>
        <w:gridCol w:w="2769"/>
        <w:gridCol w:w="2769"/>
      </w:tblGrid>
      <w:tr>
        <w:trPr>
          <w:cantSplit/>
          <w:tblHeader/>
        </w:trPr>
        <w:tc>
          <w:tcPr>
            <w:shd w:fill="1F4E79" w:val="clear"/>
            <w:tcMar>
              <w:top w:type="dxa" w:w="100"/>
              <w:left w:type="dxa" w:w="150"/>
              <w:bottom w:type="dxa" w:w="100"/>
              <w:right w:type="dxa" w:w="150"/>
            </w:tcMar>
          </w:tcPr>
          <w:p>
            <w:pPr>
              <w:spacing w:line="312"/>
            </w:pPr>
            <w:r>
              <w:rPr>
                <w:rFonts w:ascii="Arial"/>
                <w:b/>
                <w:bCs/>
                <w:color w:val="FFFFFF"/>
                <w:sz w:val="21"/>
                <w:szCs w:val="21"/>
              </w:rPr>
              <w:t xml:space="preserve">Item</w:t>
            </w:r>
          </w:p>
        </w:tc>
        <w:tc>
          <w:tcPr>
            <w:shd w:fill="1F4E79" w:val="clear"/>
            <w:tcMar>
              <w:top w:type="dxa" w:w="100"/>
              <w:left w:type="dxa" w:w="150"/>
              <w:bottom w:type="dxa" w:w="100"/>
              <w:right w:type="dxa" w:w="150"/>
            </w:tcMar>
          </w:tcPr>
          <w:p>
            <w:pPr>
              <w:spacing w:line="312"/>
            </w:pPr>
            <w:r>
              <w:rPr>
                <w:rFonts w:ascii="Arial"/>
                <w:b/>
                <w:bCs/>
                <w:color w:val="FFFFFF"/>
                <w:sz w:val="21"/>
                <w:szCs w:val="21"/>
              </w:rPr>
              <w:t xml:space="preserve">Revenue (k)</w:t>
            </w:r>
          </w:p>
        </w:tc>
        <w:tc>
          <w:tcPr>
            <w:shd w:fill="1F4E79" w:val="clear"/>
            <w:tcMar>
              <w:top w:type="dxa" w:w="100"/>
              <w:left w:type="dxa" w:w="150"/>
              <w:bottom w:type="dxa" w:w="100"/>
              <w:right w:type="dxa" w:w="150"/>
            </w:tcMar>
          </w:tcPr>
          <w:p>
            <w:pPr>
              <w:spacing w:line="312"/>
            </w:pPr>
            <w:r>
              <w:rPr>
                <w:rFonts w:ascii="Arial"/>
                <w:b/>
                <w:bCs/>
                <w:color w:val="FFFFFF"/>
                <w:sz w:val="21"/>
                <w:szCs w:val="21"/>
              </w:rPr>
              <w:t xml:space="preserve">YoY</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Engineering</w:t>
            </w:r>
          </w:p>
        </w:tc>
        <w:tc>
          <w:tcPr>
            <w:shd w:fill="FFFFFF" w:val="clear"/>
            <w:tcMar>
              <w:top w:type="dxa" w:w="80"/>
              <w:left w:type="dxa" w:w="150"/>
              <w:bottom w:type="dxa" w:w="80"/>
              <w:right w:type="dxa" w:w="150"/>
            </w:tcMar>
          </w:tcPr>
          <w:p>
            <w:pPr>
              <w:spacing w:line="312"/>
            </w:pPr>
            <w:r>
              <w:rPr>
                <w:rFonts w:ascii="Times New Roman"/>
                <w:sz w:val="21"/>
                <w:szCs w:val="21"/>
              </w:rPr>
              <w:t xml:space="preserve">347</w:t>
            </w:r>
          </w:p>
        </w:tc>
        <w:tc>
          <w:tcPr>
            <w:shd w:fill="FFFFFF" w:val="clear"/>
            <w:tcMar>
              <w:top w:type="dxa" w:w="80"/>
              <w:left w:type="dxa" w:w="150"/>
              <w:bottom w:type="dxa" w:w="80"/>
              <w:right w:type="dxa" w:w="150"/>
            </w:tcMar>
          </w:tcPr>
          <w:p>
            <w:pPr>
              <w:spacing w:line="312"/>
            </w:pPr>
            <w:r>
              <w:rPr>
                <w:rFonts w:ascii="Times New Roman"/>
                <w:sz w:val="21"/>
                <w:szCs w:val="21"/>
              </w:rPr>
              <w:t xml:space="preserve">11.9%</w:t>
            </w:r>
          </w:p>
        </w:tc>
      </w:tr>
      <w:tr>
        <w:trPr>
          <w:cantSplit/>
        </w:trPr>
        <w:tc>
          <w:tcPr>
            <w:shd w:fill="D6E4F0" w:val="clear"/>
            <w:tcMar>
              <w:top w:type="dxa" w:w="80"/>
              <w:left w:type="dxa" w:w="150"/>
              <w:bottom w:type="dxa" w:w="80"/>
              <w:right w:type="dxa" w:w="150"/>
            </w:tcMar>
          </w:tcPr>
          <w:p>
            <w:pPr>
              <w:spacing w:line="312"/>
            </w:pPr>
            <w:r>
              <w:rPr>
                <w:rFonts w:ascii="Times New Roman"/>
                <w:sz w:val="21"/>
                <w:szCs w:val="21"/>
              </w:rPr>
              <w:t xml:space="preserve">Operations</w:t>
            </w:r>
          </w:p>
        </w:tc>
        <w:tc>
          <w:tcPr>
            <w:shd w:fill="D6E4F0" w:val="clear"/>
            <w:tcMar>
              <w:top w:type="dxa" w:w="80"/>
              <w:left w:type="dxa" w:w="150"/>
              <w:bottom w:type="dxa" w:w="80"/>
              <w:right w:type="dxa" w:w="150"/>
            </w:tcMar>
          </w:tcPr>
          <w:p>
            <w:pPr>
              <w:spacing w:line="312"/>
            </w:pPr>
            <w:r>
              <w:rPr>
                <w:rFonts w:ascii="Times New Roman"/>
                <w:sz w:val="21"/>
                <w:szCs w:val="21"/>
              </w:rPr>
              <w:t xml:space="preserve">420</w:t>
            </w:r>
          </w:p>
        </w:tc>
        <w:tc>
          <w:tcPr>
            <w:shd w:fill="D6E4F0" w:val="clear"/>
            <w:tcMar>
              <w:top w:type="dxa" w:w="80"/>
              <w:left w:type="dxa" w:w="150"/>
              <w:bottom w:type="dxa" w:w="80"/>
              <w:right w:type="dxa" w:w="150"/>
            </w:tcMar>
          </w:tcPr>
          <w:p>
            <w:pPr>
              <w:spacing w:line="312"/>
            </w:pPr>
            <w:r>
              <w:rPr>
                <w:rFonts w:ascii="Times New Roman"/>
                <w:sz w:val="21"/>
                <w:szCs w:val="21"/>
              </w:rPr>
              <w:t xml:space="preserve">41.5%</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Sales</w:t>
            </w:r>
          </w:p>
        </w:tc>
        <w:tc>
          <w:tcPr>
            <w:shd w:fill="FFFFFF" w:val="clear"/>
            <w:tcMar>
              <w:top w:type="dxa" w:w="80"/>
              <w:left w:type="dxa" w:w="150"/>
              <w:bottom w:type="dxa" w:w="80"/>
              <w:right w:type="dxa" w:w="150"/>
            </w:tcMar>
          </w:tcPr>
          <w:p>
            <w:pPr>
              <w:spacing w:line="312"/>
            </w:pPr>
            <w:r>
              <w:rPr>
                <w:rFonts w:ascii="Times New Roman"/>
                <w:sz w:val="21"/>
                <w:szCs w:val="21"/>
              </w:rPr>
              <w:t xml:space="preserve">255</w:t>
            </w:r>
          </w:p>
        </w:tc>
        <w:tc>
          <w:tcPr>
            <w:shd w:fill="FFFFFF" w:val="clear"/>
            <w:tcMar>
              <w:top w:type="dxa" w:w="80"/>
              <w:left w:type="dxa" w:w="150"/>
              <w:bottom w:type="dxa" w:w="80"/>
              <w:right w:type="dxa" w:w="150"/>
            </w:tcMar>
          </w:tcPr>
          <w:p>
            <w:pPr>
              <w:spacing w:line="312"/>
            </w:pPr>
            <w:r>
              <w:rPr>
                <w:rFonts w:ascii="Times New Roman"/>
                <w:sz w:val="21"/>
                <w:szCs w:val="21"/>
              </w:rPr>
              <w:t xml:space="preserve">-5.1%</w:t>
            </w:r>
          </w:p>
        </w:tc>
      </w:tr>
      <w:tr>
        <w:trPr>
          <w:cantSplit/>
        </w:trPr>
        <w:tc>
          <w:tcPr>
            <w:shd w:fill="D6E4F0" w:val="clear"/>
            <w:tcMar>
              <w:top w:type="dxa" w:w="80"/>
              <w:left w:type="dxa" w:w="150"/>
              <w:bottom w:type="dxa" w:w="80"/>
              <w:right w:type="dxa" w:w="150"/>
            </w:tcMar>
          </w:tcPr>
          <w:p>
            <w:pPr>
              <w:spacing w:line="312"/>
            </w:pPr>
            <w:r>
              <w:rPr>
                <w:rFonts w:ascii="Times New Roman"/>
                <w:sz w:val="21"/>
                <w:szCs w:val="21"/>
              </w:rPr>
              <w:t xml:space="preserve">Nimbus Storage</w:t>
            </w:r>
          </w:p>
        </w:tc>
        <w:tc>
          <w:tcPr>
            <w:shd w:fill="D6E4F0" w:val="clear"/>
            <w:tcMar>
              <w:top w:type="dxa" w:w="80"/>
              <w:left w:type="dxa" w:w="150"/>
              <w:bottom w:type="dxa" w:w="80"/>
              <w:right w:type="dxa" w:w="150"/>
            </w:tcMar>
          </w:tcPr>
          <w:p>
            <w:pPr>
              <w:spacing w:line="312"/>
            </w:pPr>
            <w:r>
              <w:rPr>
                <w:rFonts w:ascii="Times New Roman"/>
                <w:sz w:val="21"/>
                <w:szCs w:val="21"/>
              </w:rPr>
              <w:t xml:space="preserve">461</w:t>
            </w:r>
          </w:p>
        </w:tc>
        <w:tc>
          <w:tcPr>
            <w:shd w:fill="D6E4F0" w:val="clear"/>
            <w:tcMar>
              <w:top w:type="dxa" w:w="80"/>
              <w:left w:type="dxa" w:w="150"/>
              <w:bottom w:type="dxa" w:w="80"/>
              <w:right w:type="dxa" w:w="150"/>
            </w:tcMar>
          </w:tcPr>
          <w:p>
            <w:pPr>
              <w:spacing w:line="312"/>
            </w:pPr>
            <w:r>
              <w:rPr>
                <w:rFonts w:ascii="Times New Roman"/>
                <w:sz w:val="21"/>
                <w:szCs w:val="21"/>
              </w:rPr>
              <w:t xml:space="preserve">42.5%</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People Ops</w:t>
            </w:r>
          </w:p>
        </w:tc>
        <w:tc>
          <w:tcPr>
            <w:shd w:fill="FFFFFF" w:val="clear"/>
            <w:tcMar>
              <w:top w:type="dxa" w:w="80"/>
              <w:left w:type="dxa" w:w="150"/>
              <w:bottom w:type="dxa" w:w="80"/>
              <w:right w:type="dxa" w:w="150"/>
            </w:tcMar>
          </w:tcPr>
          <w:p>
            <w:pPr>
              <w:spacing w:line="312"/>
            </w:pPr>
            <w:r>
              <w:rPr>
                <w:rFonts w:ascii="Times New Roman"/>
                <w:sz w:val="21"/>
                <w:szCs w:val="21"/>
              </w:rPr>
              <w:t xml:space="preserve">736</w:t>
            </w:r>
          </w:p>
        </w:tc>
        <w:tc>
          <w:tcPr>
            <w:shd w:fill="FFFFFF" w:val="clear"/>
            <w:tcMar>
              <w:top w:type="dxa" w:w="80"/>
              <w:left w:type="dxa" w:w="150"/>
              <w:bottom w:type="dxa" w:w="80"/>
              <w:right w:type="dxa" w:w="150"/>
            </w:tcMar>
          </w:tcPr>
          <w:p>
            <w:pPr>
              <w:spacing w:line="312"/>
            </w:pPr>
            <w:r>
              <w:rPr>
                <w:rFonts w:ascii="Times New Roman"/>
                <w:sz w:val="21"/>
                <w:szCs w:val="21"/>
              </w:rPr>
              <w:t xml:space="preserve">32.7%</w:t>
            </w:r>
          </w:p>
        </w:tc>
      </w:tr>
    </w:tbl>
    <w:p>
      <w:pPr>
        <w:pStyle w:val="Heading1"/>
        <w:spacing w:after="120" w:before="240" w:line="312"/>
      </w:pPr>
      <w:r>
        <w:rPr>
          <w:rFonts w:ascii="Arial"/>
          <w:b/>
          <w:bCs/>
          <w:color w:val="1F4E79"/>
          <w:sz w:val="30"/>
          <w:szCs w:val="30"/>
        </w:rPr>
        <w:t xml:space="preserve">Next-Step Plan</w:t>
      </w:r>
    </w:p>
    <w:p>
      <w:pPr>
        <w:spacing w:line="312"/>
        <w:jc w:val="both"/>
      </w:pPr>
      <w:r>
        <w:rPr>
          <w:rFonts w:ascii="Times New Roman"/>
          <w:color w:val="333333"/>
          <w:sz w:val="24"/>
          <w:szCs w:val="24"/>
        </w:rPr>
        <w:t xml:space="preserve">Cost pressure and regional competition remain the principal risks to monitor. Revenue concentration in the main product line increased and retention improved. Cross-team efficiency rose and delivery lead times shortened versus last quarter.</w:t>
      </w:r>
    </w:p>
    <w:p>
      <w:pPr>
        <w:pStyle w:val="Heading1"/>
        <w:spacing w:after="120" w:before="240" w:line="312"/>
      </w:pPr>
      <w:r>
        <w:rPr>
          <w:rFonts w:ascii="Arial"/>
          <w:b/>
          <w:bCs/>
          <w:color w:val="1F4E79"/>
          <w:sz w:val="30"/>
          <w:szCs w:val="30"/>
        </w:rPr>
        <w:t xml:space="preserve">Summary and Recommendations</w:t>
      </w:r>
    </w:p>
    <w:p>
      <w:pPr>
        <w:spacing w:line="312"/>
        <w:jc w:val="both"/>
      </w:pPr>
      <w:r>
        <w:rPr>
          <w:rFonts w:ascii="Times New Roman"/>
          <w:color w:val="333333"/>
          <w:sz w:val="24"/>
          <w:szCs w:val="24"/>
        </w:rPr>
        <w:t xml:space="preserve">Revenue concentration in the main product line increased and retention improved. Cost pressure and regional competition remain the principal risks to monitor. The business delivered steady growth this quarter, with core KPIs on target.</w:t>
      </w:r>
    </w:p>
    <w:sectPr>
      <w:pgSz w:w="11906" w:h="16838"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2026-10-08T13:31:59.986Z</dcterms:created>
  <dcterms:modified xsi:type="dcterms:W3CDTF">2026-10-08T13:31:59.986Z</dcterms:modified>
</cp:coreProperties>
</file>

<file path=docProps/custom.xml><?xml version="1.0" encoding="utf-8"?>
<Properties xmlns="http://schemas.openxmlformats.org/officeDocument/2006/custom-properties" xmlns:vt="http://schemas.openxmlformats.org/officeDocument/2006/docPropsVTypes"/>
</file>