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pStyle w:val="Heading2"/>
        <w:spacing w:line="312" w:lineRule="auto"/>
      </w:pPr>
      <w:r>
        <w:rPr>
          <w:b/>
        </w:rPr>
        <w:t>Data Analysis</w:t>
      </w:r>
    </w:p>
    <w:p>
      <w:pPr>
        <w:spacing w:line="312" w:lineRule="auto"/>
      </w:pPr>
      <w:r>
        <w:t>Cost pressure and regional competition remain the principal risks to monitor. Revenue concentration in the main product line increased and retention improved. We recommend expanding channel investment and rebalancing resourcing to sustain growth.</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