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5B2C6F"/>
          <w:sz w:val="30"/>
          <w:szCs w:val="30"/>
        </w:rPr>
        <w:t xml:space="preserve">Executive Overview</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Revenue concentration in the main product line increased and retention improved.</w:t>
      </w:r>
    </w:p>
    <w:p>
      <w:pPr>
        <w:pStyle w:val="Heading1"/>
        <w:spacing w:after="120" w:before="240" w:line="312"/>
      </w:pPr>
      <w:r>
        <w:rPr>
          <w:rFonts w:ascii="Arial"/>
          <w:b/>
          <w:bCs/>
          <w:color w:val="5B2C6F"/>
          <w:sz w:val="30"/>
          <w:szCs w:val="30"/>
        </w:rPr>
        <w:t xml:space="preserve">Next-Step Plan</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Revenue concentration in the main product line increased and retention improved.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5B2C6F"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616</w:t>
            </w:r>
          </w:p>
        </w:tc>
        <w:tc>
          <w:tcPr>
            <w:shd w:fill="FFFFFF" w:val="clear"/>
            <w:tcMar>
              <w:top w:type="dxa" w:w="80"/>
              <w:left w:type="dxa" w:w="150"/>
              <w:bottom w:type="dxa" w:w="80"/>
              <w:right w:type="dxa" w:w="150"/>
            </w:tcMar>
          </w:tcPr>
          <w:p>
            <w:pPr>
              <w:spacing w:line="312"/>
            </w:pPr>
            <w:r>
              <w:rPr>
                <w:rFonts w:ascii="Times New Roman"/>
                <w:sz w:val="21"/>
                <w:szCs w:val="21"/>
              </w:rPr>
              <w:t xml:space="preserve">31.9%</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Nimbus Storage</w:t>
            </w:r>
          </w:p>
        </w:tc>
        <w:tc>
          <w:tcPr>
            <w:shd w:fill="EADDF3" w:val="clear"/>
            <w:tcMar>
              <w:top w:type="dxa" w:w="80"/>
              <w:left w:type="dxa" w:w="150"/>
              <w:bottom w:type="dxa" w:w="80"/>
              <w:right w:type="dxa" w:w="150"/>
            </w:tcMar>
          </w:tcPr>
          <w:p>
            <w:pPr>
              <w:spacing w:line="312"/>
            </w:pPr>
            <w:r>
              <w:rPr>
                <w:rFonts w:ascii="Times New Roman"/>
                <w:sz w:val="21"/>
                <w:szCs w:val="21"/>
              </w:rPr>
              <w:t xml:space="preserve">938</w:t>
            </w:r>
          </w:p>
        </w:tc>
        <w:tc>
          <w:tcPr>
            <w:shd w:fill="EADDF3" w:val="clear"/>
            <w:tcMar>
              <w:top w:type="dxa" w:w="80"/>
              <w:left w:type="dxa" w:w="150"/>
              <w:bottom w:type="dxa" w:w="80"/>
              <w:right w:type="dxa" w:w="150"/>
            </w:tcMar>
          </w:tcPr>
          <w:p>
            <w:pPr>
              <w:spacing w:line="312"/>
            </w:pPr>
            <w:r>
              <w:rPr>
                <w:rFonts w:ascii="Times New Roman"/>
                <w:sz w:val="21"/>
                <w:szCs w:val="21"/>
              </w:rPr>
              <w:t xml:space="preserve">26.1%</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478</w:t>
            </w:r>
          </w:p>
        </w:tc>
        <w:tc>
          <w:tcPr>
            <w:shd w:fill="FFFFFF" w:val="clear"/>
            <w:tcMar>
              <w:top w:type="dxa" w:w="80"/>
              <w:left w:type="dxa" w:w="150"/>
              <w:bottom w:type="dxa" w:w="80"/>
              <w:right w:type="dxa" w:w="150"/>
            </w:tcMar>
          </w:tcPr>
          <w:p>
            <w:pPr>
              <w:spacing w:line="312"/>
            </w:pPr>
            <w:r>
              <w:rPr>
                <w:rFonts w:ascii="Times New Roman"/>
                <w:sz w:val="21"/>
                <w:szCs w:val="21"/>
              </w:rPr>
              <w:t xml:space="preserve">40.3%</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Sales</w:t>
            </w:r>
          </w:p>
        </w:tc>
        <w:tc>
          <w:tcPr>
            <w:shd w:fill="EADDF3" w:val="clear"/>
            <w:tcMar>
              <w:top w:type="dxa" w:w="80"/>
              <w:left w:type="dxa" w:w="150"/>
              <w:bottom w:type="dxa" w:w="80"/>
              <w:right w:type="dxa" w:w="150"/>
            </w:tcMar>
          </w:tcPr>
          <w:p>
            <w:pPr>
              <w:spacing w:line="312"/>
            </w:pPr>
            <w:r>
              <w:rPr>
                <w:rFonts w:ascii="Times New Roman"/>
                <w:sz w:val="21"/>
                <w:szCs w:val="21"/>
              </w:rPr>
              <w:t xml:space="preserve">850</w:t>
            </w:r>
          </w:p>
        </w:tc>
        <w:tc>
          <w:tcPr>
            <w:shd w:fill="EADDF3" w:val="clear"/>
            <w:tcMar>
              <w:top w:type="dxa" w:w="80"/>
              <w:left w:type="dxa" w:w="150"/>
              <w:bottom w:type="dxa" w:w="80"/>
              <w:right w:type="dxa" w:w="150"/>
            </w:tcMar>
          </w:tcPr>
          <w:p>
            <w:pPr>
              <w:spacing w:line="312"/>
            </w:pPr>
            <w:r>
              <w:rPr>
                <w:rFonts w:ascii="Times New Roman"/>
                <w:sz w:val="21"/>
                <w:szCs w:val="21"/>
              </w:rPr>
              <w:t xml:space="preserve">38.5%</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932</w:t>
            </w:r>
          </w:p>
        </w:tc>
        <w:tc>
          <w:tcPr>
            <w:shd w:fill="FFFFFF" w:val="clear"/>
            <w:tcMar>
              <w:top w:type="dxa" w:w="80"/>
              <w:left w:type="dxa" w:w="150"/>
              <w:bottom w:type="dxa" w:w="80"/>
              <w:right w:type="dxa" w:w="150"/>
            </w:tcMar>
          </w:tcPr>
          <w:p>
            <w:pPr>
              <w:spacing w:line="312"/>
            </w:pPr>
            <w:r>
              <w:rPr>
                <w:rFonts w:ascii="Times New Roman"/>
                <w:sz w:val="21"/>
                <w:szCs w:val="21"/>
              </w:rPr>
              <w:t xml:space="preserve">10.4%</w:t>
            </w:r>
          </w:p>
        </w:tc>
      </w:tr>
    </w:tbl>
    <w:p>
      <w:pPr>
        <w:pStyle w:val="Heading1"/>
        <w:spacing w:after="120" w:before="240" w:line="312"/>
      </w:pPr>
      <w:r>
        <w:rPr>
          <w:rFonts w:ascii="Arial"/>
          <w:b/>
          <w:bCs/>
          <w:color w:val="5B2C6F"/>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The business delivered steady growth this quarter, with core KPIs on target.</w:t>
      </w:r>
    </w:p>
    <w:p>
      <w:pPr>
        <w:pStyle w:val="Heading1"/>
        <w:spacing w:after="120" w:before="240" w:line="312"/>
      </w:pPr>
      <w:r>
        <w:rPr>
          <w:rFonts w:ascii="Arial"/>
          <w:b/>
          <w:bCs/>
          <w:color w:val="5B2C6F"/>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The business delivered steady growth this quarter, with core KPIs on target.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2026-10-08T13:32:03.473Z</dcterms:created>
  <dcterms:modified xsi:type="dcterms:W3CDTF">2026-10-08T13:32:03.474Z</dcterms:modified>
</cp:coreProperties>
</file>

<file path=docProps/custom.xml><?xml version="1.0" encoding="utf-8"?>
<Properties xmlns="http://schemas.openxmlformats.org/officeDocument/2006/custom-properties" xmlns:vt="http://schemas.openxmlformats.org/officeDocument/2006/docPropsVTypes"/>
</file>