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Cost pressure and regional competition remain the principal risks to monitor. Cross-team efficiency rose and delivery lead times shortened versus last quarter. We recommend expanding channel investment and rebalancing resourcing to sustain growth.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