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7B3B00"/>
          <w:sz w:val="30"/>
          <w:szCs w:val="30"/>
        </w:rPr>
        <w:t xml:space="preserve">Performance Analysis</w:t>
      </w:r>
    </w:p>
    <w:p>
      <w:pPr>
        <w:spacing w:line="312"/>
        <w:jc w:val="both"/>
      </w:pPr>
      <w:r>
        <w:rPr>
          <w:rFonts w:ascii="Times New Roman"/>
          <w:color w:val="333333"/>
          <w:sz w:val="24"/>
          <w:szCs w:val="24"/>
        </w:rPr>
        <w:t xml:space="preserve">Cross-team efficiency rose and delivery lead times shortened versus last quarter. We recommend expanding channel investment and rebalancing resourcing to sustain growth. Cost pressure and regional competition remain the principal risks to monitor.</w:t>
      </w:r>
    </w:p>
    <w:p>
      <w:pPr>
        <w:pStyle w:val="Heading1"/>
        <w:spacing w:after="120" w:before="240" w:line="312"/>
      </w:pPr>
      <w:r>
        <w:rPr>
          <w:rFonts w:ascii="Arial"/>
          <w:b/>
          <w:bCs/>
          <w:color w:val="7B3B00"/>
          <w:sz w:val="30"/>
          <w:szCs w:val="30"/>
        </w:rPr>
        <w:t xml:space="preserve">Summary and Recommendations</w:t>
      </w:r>
    </w:p>
    <w:p>
      <w:pPr>
        <w:spacing w:line="312"/>
        <w:jc w:val="both"/>
      </w:pPr>
      <w:r>
        <w:rPr>
          <w:rFonts w:ascii="Times New Roman"/>
          <w:color w:val="333333"/>
          <w:sz w:val="24"/>
          <w:szCs w:val="24"/>
        </w:rPr>
        <w:t xml:space="preserve">Cost pressure and regional competition remain the principal risks to monitor. We recommend expanding channel investment and rebalancing resourcing to sustain growth. Revenue concentration in the main product line increased and retention improved.</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7B3B00"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7B3B00"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7B3B00"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Operations</w:t>
            </w:r>
          </w:p>
        </w:tc>
        <w:tc>
          <w:tcPr>
            <w:shd w:fill="FFFFFF" w:val="clear"/>
            <w:tcMar>
              <w:top w:type="dxa" w:w="80"/>
              <w:left w:type="dxa" w:w="150"/>
              <w:bottom w:type="dxa" w:w="80"/>
              <w:right w:type="dxa" w:w="150"/>
            </w:tcMar>
          </w:tcPr>
          <w:p>
            <w:pPr>
              <w:spacing w:line="312"/>
            </w:pPr>
            <w:r>
              <w:rPr>
                <w:rFonts w:ascii="Times New Roman"/>
                <w:sz w:val="21"/>
                <w:szCs w:val="21"/>
              </w:rPr>
              <w:t xml:space="preserve">663</w:t>
            </w:r>
          </w:p>
        </w:tc>
        <w:tc>
          <w:tcPr>
            <w:shd w:fill="FFFFFF" w:val="clear"/>
            <w:tcMar>
              <w:top w:type="dxa" w:w="80"/>
              <w:left w:type="dxa" w:w="150"/>
              <w:bottom w:type="dxa" w:w="80"/>
              <w:right w:type="dxa" w:w="150"/>
            </w:tcMar>
          </w:tcPr>
          <w:p>
            <w:pPr>
              <w:spacing w:line="312"/>
            </w:pPr>
            <w:r>
              <w:rPr>
                <w:rFonts w:ascii="Times New Roman"/>
                <w:sz w:val="21"/>
                <w:szCs w:val="21"/>
              </w:rPr>
              <w:t xml:space="preserve">7.1%</w:t>
            </w:r>
          </w:p>
        </w:tc>
      </w:tr>
      <w:tr>
        <w:trPr>
          <w:cantSplit/>
        </w:trPr>
        <w:tc>
          <w:tcPr>
            <w:shd w:fill="F5E6D3" w:val="clear"/>
            <w:tcMar>
              <w:top w:type="dxa" w:w="80"/>
              <w:left w:type="dxa" w:w="150"/>
              <w:bottom w:type="dxa" w:w="80"/>
              <w:right w:type="dxa" w:w="150"/>
            </w:tcMar>
          </w:tcPr>
          <w:p>
            <w:pPr>
              <w:spacing w:line="312"/>
            </w:pPr>
            <w:r>
              <w:rPr>
                <w:rFonts w:ascii="Times New Roman"/>
                <w:sz w:val="21"/>
                <w:szCs w:val="21"/>
              </w:rPr>
              <w:t xml:space="preserve">Orbit CRM</w:t>
            </w:r>
          </w:p>
        </w:tc>
        <w:tc>
          <w:tcPr>
            <w:shd w:fill="F5E6D3" w:val="clear"/>
            <w:tcMar>
              <w:top w:type="dxa" w:w="80"/>
              <w:left w:type="dxa" w:w="150"/>
              <w:bottom w:type="dxa" w:w="80"/>
              <w:right w:type="dxa" w:w="150"/>
            </w:tcMar>
          </w:tcPr>
          <w:p>
            <w:pPr>
              <w:spacing w:line="312"/>
            </w:pPr>
            <w:r>
              <w:rPr>
                <w:rFonts w:ascii="Times New Roman"/>
                <w:sz w:val="21"/>
                <w:szCs w:val="21"/>
              </w:rPr>
              <w:t xml:space="preserve">514</w:t>
            </w:r>
          </w:p>
        </w:tc>
        <w:tc>
          <w:tcPr>
            <w:shd w:fill="F5E6D3" w:val="clear"/>
            <w:tcMar>
              <w:top w:type="dxa" w:w="80"/>
              <w:left w:type="dxa" w:w="150"/>
              <w:bottom w:type="dxa" w:w="80"/>
              <w:right w:type="dxa" w:w="150"/>
            </w:tcMar>
          </w:tcPr>
          <w:p>
            <w:pPr>
              <w:spacing w:line="312"/>
            </w:pPr>
            <w:r>
              <w:rPr>
                <w:rFonts w:ascii="Times New Roman"/>
                <w:sz w:val="21"/>
                <w:szCs w:val="21"/>
              </w:rPr>
              <w:t xml:space="preserve">0.2%</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Vertex Payroll</w:t>
            </w:r>
          </w:p>
        </w:tc>
        <w:tc>
          <w:tcPr>
            <w:shd w:fill="FFFFFF" w:val="clear"/>
            <w:tcMar>
              <w:top w:type="dxa" w:w="80"/>
              <w:left w:type="dxa" w:w="150"/>
              <w:bottom w:type="dxa" w:w="80"/>
              <w:right w:type="dxa" w:w="150"/>
            </w:tcMar>
          </w:tcPr>
          <w:p>
            <w:pPr>
              <w:spacing w:line="312"/>
            </w:pPr>
            <w:r>
              <w:rPr>
                <w:rFonts w:ascii="Times New Roman"/>
                <w:sz w:val="21"/>
                <w:szCs w:val="21"/>
              </w:rPr>
              <w:t xml:space="preserve">518</w:t>
            </w:r>
          </w:p>
        </w:tc>
        <w:tc>
          <w:tcPr>
            <w:shd w:fill="FFFFFF" w:val="clear"/>
            <w:tcMar>
              <w:top w:type="dxa" w:w="80"/>
              <w:left w:type="dxa" w:w="150"/>
              <w:bottom w:type="dxa" w:w="80"/>
              <w:right w:type="dxa" w:w="150"/>
            </w:tcMar>
          </w:tcPr>
          <w:p>
            <w:pPr>
              <w:spacing w:line="312"/>
            </w:pPr>
            <w:r>
              <w:rPr>
                <w:rFonts w:ascii="Times New Roman"/>
                <w:sz w:val="21"/>
                <w:szCs w:val="21"/>
              </w:rPr>
              <w:t xml:space="preserve">33.5%</w:t>
            </w:r>
          </w:p>
        </w:tc>
      </w:tr>
      <w:tr>
        <w:trPr>
          <w:cantSplit/>
        </w:trPr>
        <w:tc>
          <w:tcPr>
            <w:shd w:fill="F5E6D3" w:val="clear"/>
            <w:tcMar>
              <w:top w:type="dxa" w:w="80"/>
              <w:left w:type="dxa" w:w="150"/>
              <w:bottom w:type="dxa" w:w="80"/>
              <w:right w:type="dxa" w:w="150"/>
            </w:tcMar>
          </w:tcPr>
          <w:p>
            <w:pPr>
              <w:spacing w:line="312"/>
            </w:pPr>
            <w:r>
              <w:rPr>
                <w:rFonts w:ascii="Times New Roman"/>
                <w:sz w:val="21"/>
                <w:szCs w:val="21"/>
              </w:rPr>
              <w:t xml:space="preserve">Vertex Payroll</w:t>
            </w:r>
          </w:p>
        </w:tc>
        <w:tc>
          <w:tcPr>
            <w:shd w:fill="F5E6D3" w:val="clear"/>
            <w:tcMar>
              <w:top w:type="dxa" w:w="80"/>
              <w:left w:type="dxa" w:w="150"/>
              <w:bottom w:type="dxa" w:w="80"/>
              <w:right w:type="dxa" w:w="150"/>
            </w:tcMar>
          </w:tcPr>
          <w:p>
            <w:pPr>
              <w:spacing w:line="312"/>
            </w:pPr>
            <w:r>
              <w:rPr>
                <w:rFonts w:ascii="Times New Roman"/>
                <w:sz w:val="21"/>
                <w:szCs w:val="21"/>
              </w:rPr>
              <w:t xml:space="preserve">241</w:t>
            </w:r>
          </w:p>
        </w:tc>
        <w:tc>
          <w:tcPr>
            <w:shd w:fill="F5E6D3" w:val="clear"/>
            <w:tcMar>
              <w:top w:type="dxa" w:w="80"/>
              <w:left w:type="dxa" w:w="150"/>
              <w:bottom w:type="dxa" w:w="80"/>
              <w:right w:type="dxa" w:w="150"/>
            </w:tcMar>
          </w:tcPr>
          <w:p>
            <w:pPr>
              <w:spacing w:line="312"/>
            </w:pPr>
            <w:r>
              <w:rPr>
                <w:rFonts w:ascii="Times New Roman"/>
                <w:sz w:val="21"/>
                <w:szCs w:val="21"/>
              </w:rPr>
              <w:t xml:space="preserve">27.8%</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Engineering</w:t>
            </w:r>
          </w:p>
        </w:tc>
        <w:tc>
          <w:tcPr>
            <w:shd w:fill="FFFFFF" w:val="clear"/>
            <w:tcMar>
              <w:top w:type="dxa" w:w="80"/>
              <w:left w:type="dxa" w:w="150"/>
              <w:bottom w:type="dxa" w:w="80"/>
              <w:right w:type="dxa" w:w="150"/>
            </w:tcMar>
          </w:tcPr>
          <w:p>
            <w:pPr>
              <w:spacing w:line="312"/>
            </w:pPr>
            <w:r>
              <w:rPr>
                <w:rFonts w:ascii="Times New Roman"/>
                <w:sz w:val="21"/>
                <w:szCs w:val="21"/>
              </w:rPr>
              <w:t xml:space="preserve">439</w:t>
            </w:r>
          </w:p>
        </w:tc>
        <w:tc>
          <w:tcPr>
            <w:shd w:fill="FFFFFF" w:val="clear"/>
            <w:tcMar>
              <w:top w:type="dxa" w:w="80"/>
              <w:left w:type="dxa" w:w="150"/>
              <w:bottom w:type="dxa" w:w="80"/>
              <w:right w:type="dxa" w:w="150"/>
            </w:tcMar>
          </w:tcPr>
          <w:p>
            <w:pPr>
              <w:spacing w:line="312"/>
            </w:pPr>
            <w:r>
              <w:rPr>
                <w:rFonts w:ascii="Times New Roman"/>
                <w:sz w:val="21"/>
                <w:szCs w:val="21"/>
              </w:rPr>
              <w:t xml:space="preserve">4.3%</w:t>
            </w:r>
          </w:p>
        </w:tc>
      </w:tr>
    </w:tbl>
    <w:p>
      <w:pPr>
        <w:pStyle w:val="Heading1"/>
        <w:spacing w:after="120" w:before="240" w:line="312"/>
      </w:pPr>
      <w:r>
        <w:rPr>
          <w:rFonts w:ascii="Arial"/>
          <w:b/>
          <w:bCs/>
          <w:color w:val="7B3B00"/>
          <w:sz w:val="30"/>
          <w:szCs w:val="30"/>
        </w:rPr>
        <w:t xml:space="preserve">Risks and Challenges</w:t>
      </w:r>
    </w:p>
    <w:p>
      <w:pPr>
        <w:spacing w:line="312"/>
        <w:jc w:val="both"/>
      </w:pPr>
      <w:r>
        <w:rPr>
          <w:rFonts w:ascii="Times New Roman"/>
          <w:color w:val="333333"/>
          <w:sz w:val="24"/>
          <w:szCs w:val="24"/>
        </w:rPr>
        <w:t xml:space="preserve">We recommend expanding channel investment and rebalancing resourcing to sustain growth. The business delivered steady growth this quarter, with core KPIs on target. Cost pressure and regional competition remain the principal risks to monitor.</w:t>
      </w:r>
    </w:p>
    <w:p>
      <w:pPr>
        <w:pStyle w:val="Heading1"/>
        <w:spacing w:after="120" w:before="240" w:line="312"/>
      </w:pPr>
      <w:r>
        <w:rPr>
          <w:rFonts w:ascii="Arial"/>
          <w:b/>
          <w:bCs/>
          <w:color w:val="7B3B00"/>
          <w:sz w:val="30"/>
          <w:szCs w:val="30"/>
        </w:rPr>
        <w:t xml:space="preserve">Executive Overview</w:t>
      </w:r>
    </w:p>
    <w:p>
      <w:pPr>
        <w:spacing w:line="312"/>
        <w:jc w:val="both"/>
      </w:pPr>
      <w:r>
        <w:rPr>
          <w:rFonts w:ascii="Times New Roman"/>
          <w:color w:val="333333"/>
          <w:sz w:val="24"/>
          <w:szCs w:val="24"/>
        </w:rPr>
        <w:t xml:space="preserve">Revenue concentration in the main product line increased and retention improved. Cost pressure and regional competition remain the principal risks to monitor. The business delivered steady growth this quarter, with core KPIs on target.</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2026-10-08T13:32:15.146Z</dcterms:created>
  <dcterms:modified xsi:type="dcterms:W3CDTF">2026-10-08T13:32:15.146Z</dcterms:modified>
</cp:coreProperties>
</file>

<file path=docProps/custom.xml><?xml version="1.0" encoding="utf-8"?>
<Properties xmlns="http://schemas.openxmlformats.org/officeDocument/2006/custom-properties" xmlns:vt="http://schemas.openxmlformats.org/officeDocument/2006/docPropsVTypes"/>
</file>