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33544A"/>
          <w:sz w:val="30"/>
          <w:szCs w:val="30"/>
        </w:rPr>
        <w:t xml:space="preserve">Key Project Updates</w:t>
      </w:r>
    </w:p>
    <w:p>
      <w:pPr>
        <w:spacing w:line="312"/>
        <w:jc w:val="both"/>
      </w:pPr>
      <w:r>
        <w:rPr>
          <w:rFonts w:ascii="Times New Roman"/>
          <w:color w:val="333333"/>
          <w:sz w:val="24"/>
          <w:szCs w:val="24"/>
        </w:rPr>
        <w:t xml:space="preserve">Cross-team efficiency rose and delivery lead times shortened versus last quarter. Revenue concentration in the main product line increased and retention improved. We recommend expanding channel investment and rebalancing resourcing to sustain growth.</w:t>
      </w:r>
    </w:p>
    <w:p>
      <w:pPr>
        <w:pStyle w:val="Heading1"/>
        <w:spacing w:after="120" w:before="240" w:line="312"/>
      </w:pPr>
      <w:r>
        <w:rPr>
          <w:rFonts w:ascii="Arial"/>
          <w:b/>
          <w:bCs/>
          <w:color w:val="33544A"/>
          <w:sz w:val="30"/>
          <w:szCs w:val="30"/>
        </w:rPr>
        <w:t xml:space="preserve">Risks and Challenges</w:t>
      </w:r>
    </w:p>
    <w:p>
      <w:pPr>
        <w:spacing w:line="312"/>
        <w:jc w:val="both"/>
      </w:pPr>
      <w:r>
        <w:rPr>
          <w:rFonts w:ascii="Times New Roman"/>
          <w:color w:val="333333"/>
          <w:sz w:val="24"/>
          <w:szCs w:val="24"/>
        </w:rPr>
        <w:t xml:space="preserve">The business delivered steady growth this quarter, with core KPIs on target. Cost pressure and regional competition remain the principal risks to monitor. Cross-team efficiency rose and delivery lead times shortened versus last quarter.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33544A"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33544A"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33544A"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Nimbus Storage</w:t>
            </w:r>
          </w:p>
        </w:tc>
        <w:tc>
          <w:tcPr>
            <w:shd w:fill="FFFFFF" w:val="clear"/>
            <w:tcMar>
              <w:top w:type="dxa" w:w="80"/>
              <w:left w:type="dxa" w:w="150"/>
              <w:bottom w:type="dxa" w:w="80"/>
              <w:right w:type="dxa" w:w="150"/>
            </w:tcMar>
          </w:tcPr>
          <w:p>
            <w:pPr>
              <w:spacing w:line="312"/>
            </w:pPr>
            <w:r>
              <w:rPr>
                <w:rFonts w:ascii="Times New Roman"/>
                <w:sz w:val="21"/>
                <w:szCs w:val="21"/>
              </w:rPr>
              <w:t xml:space="preserve">670</w:t>
            </w:r>
          </w:p>
        </w:tc>
        <w:tc>
          <w:tcPr>
            <w:shd w:fill="FFFFFF" w:val="clear"/>
            <w:tcMar>
              <w:top w:type="dxa" w:w="80"/>
              <w:left w:type="dxa" w:w="150"/>
              <w:bottom w:type="dxa" w:w="80"/>
              <w:right w:type="dxa" w:w="150"/>
            </w:tcMar>
          </w:tcPr>
          <w:p>
            <w:pPr>
              <w:spacing w:line="312"/>
            </w:pPr>
            <w:r>
              <w:rPr>
                <w:rFonts w:ascii="Times New Roman"/>
                <w:sz w:val="21"/>
                <w:szCs w:val="21"/>
              </w:rPr>
              <w:t xml:space="preserve">15.9%</w:t>
            </w:r>
          </w:p>
        </w:tc>
      </w:tr>
      <w:tr>
        <w:trPr>
          <w:cantSplit/>
        </w:trPr>
        <w:tc>
          <w:tcPr>
            <w:shd w:fill="E3EFE7" w:val="clear"/>
            <w:tcMar>
              <w:top w:type="dxa" w:w="80"/>
              <w:left w:type="dxa" w:w="150"/>
              <w:bottom w:type="dxa" w:w="80"/>
              <w:right w:type="dxa" w:w="150"/>
            </w:tcMar>
          </w:tcPr>
          <w:p>
            <w:pPr>
              <w:spacing w:line="312"/>
            </w:pPr>
            <w:r>
              <w:rPr>
                <w:rFonts w:ascii="Times New Roman"/>
                <w:sz w:val="21"/>
                <w:szCs w:val="21"/>
              </w:rPr>
              <w:t xml:space="preserve">Sales</w:t>
            </w:r>
          </w:p>
        </w:tc>
        <w:tc>
          <w:tcPr>
            <w:shd w:fill="E3EFE7" w:val="clear"/>
            <w:tcMar>
              <w:top w:type="dxa" w:w="80"/>
              <w:left w:type="dxa" w:w="150"/>
              <w:bottom w:type="dxa" w:w="80"/>
              <w:right w:type="dxa" w:w="150"/>
            </w:tcMar>
          </w:tcPr>
          <w:p>
            <w:pPr>
              <w:spacing w:line="312"/>
            </w:pPr>
            <w:r>
              <w:rPr>
                <w:rFonts w:ascii="Times New Roman"/>
                <w:sz w:val="21"/>
                <w:szCs w:val="21"/>
              </w:rPr>
              <w:t xml:space="preserve">493</w:t>
            </w:r>
          </w:p>
        </w:tc>
        <w:tc>
          <w:tcPr>
            <w:shd w:fill="E3EFE7" w:val="clear"/>
            <w:tcMar>
              <w:top w:type="dxa" w:w="80"/>
              <w:left w:type="dxa" w:w="150"/>
              <w:bottom w:type="dxa" w:w="80"/>
              <w:right w:type="dxa" w:w="150"/>
            </w:tcMar>
          </w:tcPr>
          <w:p>
            <w:pPr>
              <w:spacing w:line="312"/>
            </w:pPr>
            <w:r>
              <w:rPr>
                <w:rFonts w:ascii="Times New Roman"/>
                <w:sz w:val="21"/>
                <w:szCs w:val="21"/>
              </w:rPr>
              <w:t xml:space="preserve">-8.9%</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Engineering</w:t>
            </w:r>
          </w:p>
        </w:tc>
        <w:tc>
          <w:tcPr>
            <w:shd w:fill="FFFFFF" w:val="clear"/>
            <w:tcMar>
              <w:top w:type="dxa" w:w="80"/>
              <w:left w:type="dxa" w:w="150"/>
              <w:bottom w:type="dxa" w:w="80"/>
              <w:right w:type="dxa" w:w="150"/>
            </w:tcMar>
          </w:tcPr>
          <w:p>
            <w:pPr>
              <w:spacing w:line="312"/>
            </w:pPr>
            <w:r>
              <w:rPr>
                <w:rFonts w:ascii="Times New Roman"/>
                <w:sz w:val="21"/>
                <w:szCs w:val="21"/>
              </w:rPr>
              <w:t xml:space="preserve">363</w:t>
            </w:r>
          </w:p>
        </w:tc>
        <w:tc>
          <w:tcPr>
            <w:shd w:fill="FFFFFF" w:val="clear"/>
            <w:tcMar>
              <w:top w:type="dxa" w:w="80"/>
              <w:left w:type="dxa" w:w="150"/>
              <w:bottom w:type="dxa" w:w="80"/>
              <w:right w:type="dxa" w:w="150"/>
            </w:tcMar>
          </w:tcPr>
          <w:p>
            <w:pPr>
              <w:spacing w:line="312"/>
            </w:pPr>
            <w:r>
              <w:rPr>
                <w:rFonts w:ascii="Times New Roman"/>
                <w:sz w:val="21"/>
                <w:szCs w:val="21"/>
              </w:rPr>
              <w:t xml:space="preserve">15.8%</w:t>
            </w:r>
          </w:p>
        </w:tc>
      </w:tr>
      <w:tr>
        <w:trPr>
          <w:cantSplit/>
        </w:trPr>
        <w:tc>
          <w:tcPr>
            <w:shd w:fill="E3EFE7" w:val="clear"/>
            <w:tcMar>
              <w:top w:type="dxa" w:w="80"/>
              <w:left w:type="dxa" w:w="150"/>
              <w:bottom w:type="dxa" w:w="80"/>
              <w:right w:type="dxa" w:w="150"/>
            </w:tcMar>
          </w:tcPr>
          <w:p>
            <w:pPr>
              <w:spacing w:line="312"/>
            </w:pPr>
            <w:r>
              <w:rPr>
                <w:rFonts w:ascii="Times New Roman"/>
                <w:sz w:val="21"/>
                <w:szCs w:val="21"/>
              </w:rPr>
              <w:t xml:space="preserve">Operations</w:t>
            </w:r>
          </w:p>
        </w:tc>
        <w:tc>
          <w:tcPr>
            <w:shd w:fill="E3EFE7" w:val="clear"/>
            <w:tcMar>
              <w:top w:type="dxa" w:w="80"/>
              <w:left w:type="dxa" w:w="150"/>
              <w:bottom w:type="dxa" w:w="80"/>
              <w:right w:type="dxa" w:w="150"/>
            </w:tcMar>
          </w:tcPr>
          <w:p>
            <w:pPr>
              <w:spacing w:line="312"/>
            </w:pPr>
            <w:r>
              <w:rPr>
                <w:rFonts w:ascii="Times New Roman"/>
                <w:sz w:val="21"/>
                <w:szCs w:val="21"/>
              </w:rPr>
              <w:t xml:space="preserve">453</w:t>
            </w:r>
          </w:p>
        </w:tc>
        <w:tc>
          <w:tcPr>
            <w:shd w:fill="E3EFE7" w:val="clear"/>
            <w:tcMar>
              <w:top w:type="dxa" w:w="80"/>
              <w:left w:type="dxa" w:w="150"/>
              <w:bottom w:type="dxa" w:w="80"/>
              <w:right w:type="dxa" w:w="150"/>
            </w:tcMar>
          </w:tcPr>
          <w:p>
            <w:pPr>
              <w:spacing w:line="312"/>
            </w:pPr>
            <w:r>
              <w:rPr>
                <w:rFonts w:ascii="Times New Roman"/>
                <w:sz w:val="21"/>
                <w:szCs w:val="21"/>
              </w:rPr>
              <w:t xml:space="preserve">35.1%</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Marketing</w:t>
            </w:r>
          </w:p>
        </w:tc>
        <w:tc>
          <w:tcPr>
            <w:shd w:fill="FFFFFF" w:val="clear"/>
            <w:tcMar>
              <w:top w:type="dxa" w:w="80"/>
              <w:left w:type="dxa" w:w="150"/>
              <w:bottom w:type="dxa" w:w="80"/>
              <w:right w:type="dxa" w:w="150"/>
            </w:tcMar>
          </w:tcPr>
          <w:p>
            <w:pPr>
              <w:spacing w:line="312"/>
            </w:pPr>
            <w:r>
              <w:rPr>
                <w:rFonts w:ascii="Times New Roman"/>
                <w:sz w:val="21"/>
                <w:szCs w:val="21"/>
              </w:rPr>
              <w:t xml:space="preserve">506</w:t>
            </w:r>
          </w:p>
        </w:tc>
        <w:tc>
          <w:tcPr>
            <w:shd w:fill="FFFFFF" w:val="clear"/>
            <w:tcMar>
              <w:top w:type="dxa" w:w="80"/>
              <w:left w:type="dxa" w:w="150"/>
              <w:bottom w:type="dxa" w:w="80"/>
              <w:right w:type="dxa" w:w="150"/>
            </w:tcMar>
          </w:tcPr>
          <w:p>
            <w:pPr>
              <w:spacing w:line="312"/>
            </w:pPr>
            <w:r>
              <w:rPr>
                <w:rFonts w:ascii="Times New Roman"/>
                <w:sz w:val="21"/>
                <w:szCs w:val="21"/>
              </w:rPr>
              <w:t xml:space="preserve">-8.8%</w:t>
            </w:r>
          </w:p>
        </w:tc>
      </w:tr>
    </w:tbl>
    <w:p>
      <w:pPr>
        <w:pStyle w:val="Heading1"/>
        <w:spacing w:after="120" w:before="240" w:line="312"/>
      </w:pPr>
      <w:r>
        <w:rPr>
          <w:rFonts w:ascii="Arial"/>
          <w:b/>
          <w:bCs/>
          <w:color w:val="33544A"/>
          <w:sz w:val="30"/>
          <w:szCs w:val="30"/>
        </w:rPr>
        <w:t xml:space="preserve">Summary and Recommendations</w:t>
      </w:r>
    </w:p>
    <w:p>
      <w:pPr>
        <w:spacing w:line="312"/>
        <w:jc w:val="both"/>
      </w:pPr>
      <w:r>
        <w:rPr>
          <w:rFonts w:ascii="Times New Roman"/>
          <w:color w:val="333333"/>
          <w:sz w:val="24"/>
          <w:szCs w:val="24"/>
        </w:rPr>
        <w:t xml:space="preserve">The business delivered steady growth this quarter, with core KPIs on target. Cross-team efficiency rose and delivery lead times shortened versus last quarter. Revenue concentration in the main product line increased and retention improved.</w:t>
      </w:r>
    </w:p>
    <w:p>
      <w:pPr>
        <w:pStyle w:val="Heading1"/>
        <w:spacing w:after="120" w:before="240" w:line="312"/>
      </w:pPr>
      <w:r>
        <w:rPr>
          <w:rFonts w:ascii="Arial"/>
          <w:b/>
          <w:bCs/>
          <w:color w:val="33544A"/>
          <w:sz w:val="30"/>
          <w:szCs w:val="30"/>
        </w:rPr>
        <w:t xml:space="preserve">Performance Analysis</w:t>
      </w:r>
    </w:p>
    <w:p>
      <w:pPr>
        <w:spacing w:line="312"/>
        <w:jc w:val="both"/>
      </w:pPr>
      <w:r>
        <w:rPr>
          <w:rFonts w:ascii="Times New Roman"/>
          <w:color w:val="333333"/>
          <w:sz w:val="24"/>
          <w:szCs w:val="24"/>
        </w:rPr>
        <w:t xml:space="preserve">Cost pressure and regional competition remain the principal risks to monitor. We recommend expanding channel investment and rebalancing resourcing to sustain growth. The business delivered steady growth this quarter, with core KPIs on target.</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2026-10-08T13:32:22.880Z</dcterms:created>
  <dcterms:modified xsi:type="dcterms:W3CDTF">2026-10-08T13:32:22.880Z</dcterms:modified>
</cp:coreProperties>
</file>

<file path=docProps/custom.xml><?xml version="1.0" encoding="utf-8"?>
<Properties xmlns="http://schemas.openxmlformats.org/officeDocument/2006/custom-properties" xmlns:vt="http://schemas.openxmlformats.org/officeDocument/2006/docPropsVTypes"/>
</file>