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The business delivered steady growth this quarter, with core KPIs on target. We recommend expanding channel investment and rebalancing resourcing to sustain growth.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