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7B3B00"/>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We recommend expanding channel investment and rebalancing resourcing to sustain growth. Revenue concentration in the main product line increased and retention improved.</w:t>
      </w:r>
    </w:p>
    <w:p>
      <w:pPr>
        <w:pStyle w:val="Heading1"/>
        <w:spacing w:after="120" w:before="240" w:line="312"/>
      </w:pPr>
      <w:r>
        <w:rPr>
          <w:rFonts w:ascii="Arial"/>
          <w:b/>
          <w:bCs/>
          <w:color w:val="7B3B00"/>
          <w:sz w:val="30"/>
          <w:szCs w:val="30"/>
        </w:rPr>
        <w:t xml:space="preserve">Risks and Challenges</w:t>
      </w:r>
    </w:p>
    <w:p>
      <w:pPr>
        <w:spacing w:line="312"/>
        <w:jc w:val="both"/>
      </w:pPr>
      <w:r>
        <w:rPr>
          <w:rFonts w:ascii="Times New Roman"/>
          <w:color w:val="333333"/>
          <w:sz w:val="24"/>
          <w:szCs w:val="24"/>
        </w:rPr>
        <w:t xml:space="preserve">The business delivered steady growth this quarter, with core KPIs on target. We recommend expanding channel investment and rebalancing resourcing to sustain growth. Cost pressure and regional competition remain the principal risks to monitor.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7B3B00"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471</w:t>
            </w:r>
          </w:p>
        </w:tc>
        <w:tc>
          <w:tcPr>
            <w:shd w:fill="FFFFFF" w:val="clear"/>
            <w:tcMar>
              <w:top w:type="dxa" w:w="80"/>
              <w:left w:type="dxa" w:w="150"/>
              <w:bottom w:type="dxa" w:w="80"/>
              <w:right w:type="dxa" w:w="150"/>
            </w:tcMar>
          </w:tcPr>
          <w:p>
            <w:pPr>
              <w:spacing w:line="312"/>
            </w:pPr>
            <w:r>
              <w:rPr>
                <w:rFonts w:ascii="Times New Roman"/>
                <w:sz w:val="21"/>
                <w:szCs w:val="21"/>
              </w:rPr>
              <w:t xml:space="preserve">-11.5%</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5E6D3" w:val="clear"/>
            <w:tcMar>
              <w:top w:type="dxa" w:w="80"/>
              <w:left w:type="dxa" w:w="150"/>
              <w:bottom w:type="dxa" w:w="80"/>
              <w:right w:type="dxa" w:w="150"/>
            </w:tcMar>
          </w:tcPr>
          <w:p>
            <w:pPr>
              <w:spacing w:line="312"/>
            </w:pPr>
            <w:r>
              <w:rPr>
                <w:rFonts w:ascii="Times New Roman"/>
                <w:sz w:val="21"/>
                <w:szCs w:val="21"/>
              </w:rPr>
              <w:t xml:space="preserve">129</w:t>
            </w:r>
          </w:p>
        </w:tc>
        <w:tc>
          <w:tcPr>
            <w:shd w:fill="F5E6D3" w:val="clear"/>
            <w:tcMar>
              <w:top w:type="dxa" w:w="80"/>
              <w:left w:type="dxa" w:w="150"/>
              <w:bottom w:type="dxa" w:w="80"/>
              <w:right w:type="dxa" w:w="150"/>
            </w:tcMar>
          </w:tcPr>
          <w:p>
            <w:pPr>
              <w:spacing w:line="312"/>
            </w:pPr>
            <w:r>
              <w:rPr>
                <w:rFonts w:ascii="Times New Roman"/>
                <w:sz w:val="21"/>
                <w:szCs w:val="21"/>
              </w:rPr>
              <w:t xml:space="preserve">42.8%</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Orbit CRM</w:t>
            </w:r>
          </w:p>
        </w:tc>
        <w:tc>
          <w:tcPr>
            <w:shd w:fill="FFFFFF" w:val="clear"/>
            <w:tcMar>
              <w:top w:type="dxa" w:w="80"/>
              <w:left w:type="dxa" w:w="150"/>
              <w:bottom w:type="dxa" w:w="80"/>
              <w:right w:type="dxa" w:w="150"/>
            </w:tcMar>
          </w:tcPr>
          <w:p>
            <w:pPr>
              <w:spacing w:line="312"/>
            </w:pPr>
            <w:r>
              <w:rPr>
                <w:rFonts w:ascii="Times New Roman"/>
                <w:sz w:val="21"/>
                <w:szCs w:val="21"/>
              </w:rPr>
              <w:t xml:space="preserve">152</w:t>
            </w:r>
          </w:p>
        </w:tc>
        <w:tc>
          <w:tcPr>
            <w:shd w:fill="FFFFFF" w:val="clear"/>
            <w:tcMar>
              <w:top w:type="dxa" w:w="80"/>
              <w:left w:type="dxa" w:w="150"/>
              <w:bottom w:type="dxa" w:w="80"/>
              <w:right w:type="dxa" w:w="150"/>
            </w:tcMar>
          </w:tcPr>
          <w:p>
            <w:pPr>
              <w:spacing w:line="312"/>
            </w:pPr>
            <w:r>
              <w:rPr>
                <w:rFonts w:ascii="Times New Roman"/>
                <w:sz w:val="21"/>
                <w:szCs w:val="21"/>
              </w:rPr>
              <w:t xml:space="preserve">-7.8%</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Pulse Dashboard</w:t>
            </w:r>
          </w:p>
        </w:tc>
        <w:tc>
          <w:tcPr>
            <w:shd w:fill="F5E6D3" w:val="clear"/>
            <w:tcMar>
              <w:top w:type="dxa" w:w="80"/>
              <w:left w:type="dxa" w:w="150"/>
              <w:bottom w:type="dxa" w:w="80"/>
              <w:right w:type="dxa" w:w="150"/>
            </w:tcMar>
          </w:tcPr>
          <w:p>
            <w:pPr>
              <w:spacing w:line="312"/>
            </w:pPr>
            <w:r>
              <w:rPr>
                <w:rFonts w:ascii="Times New Roman"/>
                <w:sz w:val="21"/>
                <w:szCs w:val="21"/>
              </w:rPr>
              <w:t xml:space="preserve">344</w:t>
            </w:r>
          </w:p>
        </w:tc>
        <w:tc>
          <w:tcPr>
            <w:shd w:fill="F5E6D3" w:val="clear"/>
            <w:tcMar>
              <w:top w:type="dxa" w:w="80"/>
              <w:left w:type="dxa" w:w="150"/>
              <w:bottom w:type="dxa" w:w="80"/>
              <w:right w:type="dxa" w:w="150"/>
            </w:tcMar>
          </w:tcPr>
          <w:p>
            <w:pPr>
              <w:spacing w:line="312"/>
            </w:pPr>
            <w:r>
              <w:rPr>
                <w:rFonts w:ascii="Times New Roman"/>
                <w:sz w:val="21"/>
                <w:szCs w:val="21"/>
              </w:rPr>
              <w:t xml:space="preserve">33.3%</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People Ops</w:t>
            </w:r>
          </w:p>
        </w:tc>
        <w:tc>
          <w:tcPr>
            <w:shd w:fill="FFFFFF" w:val="clear"/>
            <w:tcMar>
              <w:top w:type="dxa" w:w="80"/>
              <w:left w:type="dxa" w:w="150"/>
              <w:bottom w:type="dxa" w:w="80"/>
              <w:right w:type="dxa" w:w="150"/>
            </w:tcMar>
          </w:tcPr>
          <w:p>
            <w:pPr>
              <w:spacing w:line="312"/>
            </w:pPr>
            <w:r>
              <w:rPr>
                <w:rFonts w:ascii="Times New Roman"/>
                <w:sz w:val="21"/>
                <w:szCs w:val="21"/>
              </w:rPr>
              <w:t xml:space="preserve">440</w:t>
            </w:r>
          </w:p>
        </w:tc>
        <w:tc>
          <w:tcPr>
            <w:shd w:fill="FFFFFF" w:val="clear"/>
            <w:tcMar>
              <w:top w:type="dxa" w:w="80"/>
              <w:left w:type="dxa" w:w="150"/>
              <w:bottom w:type="dxa" w:w="80"/>
              <w:right w:type="dxa" w:w="150"/>
            </w:tcMar>
          </w:tcPr>
          <w:p>
            <w:pPr>
              <w:spacing w:line="312"/>
            </w:pPr>
            <w:r>
              <w:rPr>
                <w:rFonts w:ascii="Times New Roman"/>
                <w:sz w:val="21"/>
                <w:szCs w:val="21"/>
              </w:rPr>
              <w:t xml:space="preserve">11.6%</w:t>
            </w:r>
          </w:p>
        </w:tc>
      </w:tr>
    </w:tbl>
    <w:p>
      <w:pPr>
        <w:pStyle w:val="Heading1"/>
        <w:spacing w:after="120" w:before="240" w:line="312"/>
      </w:pPr>
      <w:r>
        <w:rPr>
          <w:rFonts w:ascii="Arial"/>
          <w:b/>
          <w:bCs/>
          <w:color w:val="7B3B00"/>
          <w:sz w:val="30"/>
          <w:szCs w:val="30"/>
        </w:rPr>
        <w:t xml:space="preserve">Key Project Updates</w:t>
      </w:r>
    </w:p>
    <w:p>
      <w:pPr>
        <w:spacing w:line="312"/>
        <w:jc w:val="both"/>
      </w:pPr>
      <w:r>
        <w:rPr>
          <w:rFonts w:ascii="Times New Roman"/>
          <w:color w:val="333333"/>
          <w:sz w:val="24"/>
          <w:szCs w:val="24"/>
        </w:rPr>
        <w:t xml:space="preserve">Revenue concentration in the main product line increased and retention improved. The business delivered steady growth this quarter, with core KPIs on target. We recommend expanding channel investment and rebalancing resourcing to sustain growth.</w:t>
      </w:r>
    </w:p>
    <w:p>
      <w:pPr>
        <w:pStyle w:val="Heading1"/>
        <w:spacing w:after="120" w:before="240" w:line="312"/>
      </w:pPr>
      <w:r>
        <w:rPr>
          <w:rFonts w:ascii="Arial"/>
          <w:b/>
          <w:bCs/>
          <w:color w:val="7B3B00"/>
          <w:sz w:val="30"/>
          <w:szCs w:val="30"/>
        </w:rPr>
        <w:t xml:space="preserve">Next-Step Plan</w:t>
      </w:r>
    </w:p>
    <w:p>
      <w:pPr>
        <w:spacing w:line="312"/>
        <w:jc w:val="both"/>
      </w:pPr>
      <w:r>
        <w:rPr>
          <w:rFonts w:ascii="Times New Roman"/>
          <w:color w:val="333333"/>
          <w:sz w:val="24"/>
          <w:szCs w:val="24"/>
        </w:rPr>
        <w:t xml:space="preserve">We recommend expanding channel investment and rebalancing resourcing to sustain growth. Cost pressure and regional competition remain the principal risks to monitor. Revenue concentration in the main product line increased and retention improved.</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2026-10-08T13:32:31.043Z</dcterms:created>
  <dcterms:modified xsi:type="dcterms:W3CDTF">2026-10-08T13:32:31.043Z</dcterms:modified>
</cp:coreProperties>
</file>

<file path=docProps/custom.xml><?xml version="1.0" encoding="utf-8"?>
<Properties xmlns="http://schemas.openxmlformats.org/officeDocument/2006/custom-properties" xmlns:vt="http://schemas.openxmlformats.org/officeDocument/2006/docPropsVTypes"/>
</file>