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Revenue concentration in the main product line increased and retention improved. Cross-team efficiency rose and delivery lead times shortened versus last quarter. Cost pressure and regional competition remain the principal risks to monitor.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