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5B2C6F"/>
          <w:sz w:val="30"/>
          <w:szCs w:val="30"/>
        </w:rPr>
        <w:t xml:space="preserve">Key Project Updates</w:t>
      </w:r>
    </w:p>
    <w:p>
      <w:pPr>
        <w:spacing w:line="312"/>
        <w:jc w:val="both"/>
      </w:pPr>
      <w:r>
        <w:rPr>
          <w:rFonts w:ascii="Times New Roman"/>
          <w:color w:val="333333"/>
          <w:sz w:val="24"/>
          <w:szCs w:val="24"/>
        </w:rPr>
        <w:t xml:space="preserve">We recommend expanding channel investment and rebalancing resourcing to sustain growth. Cost pressure and regional competition remain the principal risks to monitor. Revenue concentration in the main product line increased and retention improved.</w:t>
      </w:r>
    </w:p>
    <w:p>
      <w:pPr>
        <w:pStyle w:val="Heading1"/>
        <w:spacing w:after="120" w:before="240" w:line="312"/>
      </w:pPr>
      <w:r>
        <w:rPr>
          <w:rFonts w:ascii="Arial"/>
          <w:b/>
          <w:bCs/>
          <w:color w:val="5B2C6F"/>
          <w:sz w:val="30"/>
          <w:szCs w:val="30"/>
        </w:rPr>
        <w:t xml:space="preserve">Executive Overview</w:t>
      </w:r>
    </w:p>
    <w:p>
      <w:pPr>
        <w:spacing w:line="312"/>
        <w:jc w:val="both"/>
      </w:pPr>
      <w:r>
        <w:rPr>
          <w:rFonts w:ascii="Times New Roman"/>
          <w:color w:val="333333"/>
          <w:sz w:val="24"/>
          <w:szCs w:val="24"/>
        </w:rPr>
        <w:t xml:space="preserve">Revenue concentration in the main product line increased and retention improved. Cross-team efficiency rose and delivery lead times shortened versus last quarter. Cost pressure and regional competition remain the principal risks to monitor.</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5B2C6F"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5B2C6F"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5B2C6F"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Marketing</w:t>
            </w:r>
          </w:p>
        </w:tc>
        <w:tc>
          <w:tcPr>
            <w:shd w:fill="FFFFFF" w:val="clear"/>
            <w:tcMar>
              <w:top w:type="dxa" w:w="80"/>
              <w:left w:type="dxa" w:w="150"/>
              <w:bottom w:type="dxa" w:w="80"/>
              <w:right w:type="dxa" w:w="150"/>
            </w:tcMar>
          </w:tcPr>
          <w:p>
            <w:pPr>
              <w:spacing w:line="312"/>
            </w:pPr>
            <w:r>
              <w:rPr>
                <w:rFonts w:ascii="Times New Roman"/>
                <w:sz w:val="21"/>
                <w:szCs w:val="21"/>
              </w:rPr>
              <w:t xml:space="preserve">518</w:t>
            </w:r>
          </w:p>
        </w:tc>
        <w:tc>
          <w:tcPr>
            <w:shd w:fill="FFFFFF" w:val="clear"/>
            <w:tcMar>
              <w:top w:type="dxa" w:w="80"/>
              <w:left w:type="dxa" w:w="150"/>
              <w:bottom w:type="dxa" w:w="80"/>
              <w:right w:type="dxa" w:w="150"/>
            </w:tcMar>
          </w:tcPr>
          <w:p>
            <w:pPr>
              <w:spacing w:line="312"/>
            </w:pPr>
            <w:r>
              <w:rPr>
                <w:rFonts w:ascii="Times New Roman"/>
                <w:sz w:val="21"/>
                <w:szCs w:val="21"/>
              </w:rPr>
              <w:t xml:space="preserve">27.0%</w:t>
            </w:r>
          </w:p>
        </w:tc>
      </w:tr>
      <w:tr>
        <w:trPr>
          <w:cantSplit/>
        </w:trPr>
        <w:tc>
          <w:tcPr>
            <w:shd w:fill="EADDF3" w:val="clear"/>
            <w:tcMar>
              <w:top w:type="dxa" w:w="80"/>
              <w:left w:type="dxa" w:w="150"/>
              <w:bottom w:type="dxa" w:w="80"/>
              <w:right w:type="dxa" w:w="150"/>
            </w:tcMar>
          </w:tcPr>
          <w:p>
            <w:pPr>
              <w:spacing w:line="312"/>
            </w:pPr>
            <w:r>
              <w:rPr>
                <w:rFonts w:ascii="Times New Roman"/>
                <w:sz w:val="21"/>
                <w:szCs w:val="21"/>
              </w:rPr>
              <w:t xml:space="preserve">Vertex Payroll</w:t>
            </w:r>
          </w:p>
        </w:tc>
        <w:tc>
          <w:tcPr>
            <w:shd w:fill="EADDF3" w:val="clear"/>
            <w:tcMar>
              <w:top w:type="dxa" w:w="80"/>
              <w:left w:type="dxa" w:w="150"/>
              <w:bottom w:type="dxa" w:w="80"/>
              <w:right w:type="dxa" w:w="150"/>
            </w:tcMar>
          </w:tcPr>
          <w:p>
            <w:pPr>
              <w:spacing w:line="312"/>
            </w:pPr>
            <w:r>
              <w:rPr>
                <w:rFonts w:ascii="Times New Roman"/>
                <w:sz w:val="21"/>
                <w:szCs w:val="21"/>
              </w:rPr>
              <w:t xml:space="preserve">351</w:t>
            </w:r>
          </w:p>
        </w:tc>
        <w:tc>
          <w:tcPr>
            <w:shd w:fill="EADDF3" w:val="clear"/>
            <w:tcMar>
              <w:top w:type="dxa" w:w="80"/>
              <w:left w:type="dxa" w:w="150"/>
              <w:bottom w:type="dxa" w:w="80"/>
              <w:right w:type="dxa" w:w="150"/>
            </w:tcMar>
          </w:tcPr>
          <w:p>
            <w:pPr>
              <w:spacing w:line="312"/>
            </w:pPr>
            <w:r>
              <w:rPr>
                <w:rFonts w:ascii="Times New Roman"/>
                <w:sz w:val="21"/>
                <w:szCs w:val="21"/>
              </w:rPr>
              <w:t xml:space="preserve">0.0%</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Vertex Payroll</w:t>
            </w:r>
          </w:p>
        </w:tc>
        <w:tc>
          <w:tcPr>
            <w:shd w:fill="FFFFFF" w:val="clear"/>
            <w:tcMar>
              <w:top w:type="dxa" w:w="80"/>
              <w:left w:type="dxa" w:w="150"/>
              <w:bottom w:type="dxa" w:w="80"/>
              <w:right w:type="dxa" w:w="150"/>
            </w:tcMar>
          </w:tcPr>
          <w:p>
            <w:pPr>
              <w:spacing w:line="312"/>
            </w:pPr>
            <w:r>
              <w:rPr>
                <w:rFonts w:ascii="Times New Roman"/>
                <w:sz w:val="21"/>
                <w:szCs w:val="21"/>
              </w:rPr>
              <w:t xml:space="preserve">467</w:t>
            </w:r>
          </w:p>
        </w:tc>
        <w:tc>
          <w:tcPr>
            <w:shd w:fill="FFFFFF" w:val="clear"/>
            <w:tcMar>
              <w:top w:type="dxa" w:w="80"/>
              <w:left w:type="dxa" w:w="150"/>
              <w:bottom w:type="dxa" w:w="80"/>
              <w:right w:type="dxa" w:w="150"/>
            </w:tcMar>
          </w:tcPr>
          <w:p>
            <w:pPr>
              <w:spacing w:line="312"/>
            </w:pPr>
            <w:r>
              <w:rPr>
                <w:rFonts w:ascii="Times New Roman"/>
                <w:sz w:val="21"/>
                <w:szCs w:val="21"/>
              </w:rPr>
              <w:t xml:space="preserve">5.4%</w:t>
            </w:r>
          </w:p>
        </w:tc>
      </w:tr>
      <w:tr>
        <w:trPr>
          <w:cantSplit/>
        </w:trPr>
        <w:tc>
          <w:tcPr>
            <w:shd w:fill="EADDF3" w:val="clear"/>
            <w:tcMar>
              <w:top w:type="dxa" w:w="80"/>
              <w:left w:type="dxa" w:w="150"/>
              <w:bottom w:type="dxa" w:w="80"/>
              <w:right w:type="dxa" w:w="150"/>
            </w:tcMar>
          </w:tcPr>
          <w:p>
            <w:pPr>
              <w:spacing w:line="312"/>
            </w:pPr>
            <w:r>
              <w:rPr>
                <w:rFonts w:ascii="Times New Roman"/>
                <w:sz w:val="21"/>
                <w:szCs w:val="21"/>
              </w:rPr>
              <w:t xml:space="preserve">Operations</w:t>
            </w:r>
          </w:p>
        </w:tc>
        <w:tc>
          <w:tcPr>
            <w:shd w:fill="EADDF3" w:val="clear"/>
            <w:tcMar>
              <w:top w:type="dxa" w:w="80"/>
              <w:left w:type="dxa" w:w="150"/>
              <w:bottom w:type="dxa" w:w="80"/>
              <w:right w:type="dxa" w:w="150"/>
            </w:tcMar>
          </w:tcPr>
          <w:p>
            <w:pPr>
              <w:spacing w:line="312"/>
            </w:pPr>
            <w:r>
              <w:rPr>
                <w:rFonts w:ascii="Times New Roman"/>
                <w:sz w:val="21"/>
                <w:szCs w:val="21"/>
              </w:rPr>
              <w:t xml:space="preserve">576</w:t>
            </w:r>
          </w:p>
        </w:tc>
        <w:tc>
          <w:tcPr>
            <w:shd w:fill="EADDF3" w:val="clear"/>
            <w:tcMar>
              <w:top w:type="dxa" w:w="80"/>
              <w:left w:type="dxa" w:w="150"/>
              <w:bottom w:type="dxa" w:w="80"/>
              <w:right w:type="dxa" w:w="150"/>
            </w:tcMar>
          </w:tcPr>
          <w:p>
            <w:pPr>
              <w:spacing w:line="312"/>
            </w:pPr>
            <w:r>
              <w:rPr>
                <w:rFonts w:ascii="Times New Roman"/>
                <w:sz w:val="21"/>
                <w:szCs w:val="21"/>
              </w:rPr>
              <w:t xml:space="preserve">-9.3%</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Orbit CRM</w:t>
            </w:r>
          </w:p>
        </w:tc>
        <w:tc>
          <w:tcPr>
            <w:shd w:fill="FFFFFF" w:val="clear"/>
            <w:tcMar>
              <w:top w:type="dxa" w:w="80"/>
              <w:left w:type="dxa" w:w="150"/>
              <w:bottom w:type="dxa" w:w="80"/>
              <w:right w:type="dxa" w:w="150"/>
            </w:tcMar>
          </w:tcPr>
          <w:p>
            <w:pPr>
              <w:spacing w:line="312"/>
            </w:pPr>
            <w:r>
              <w:rPr>
                <w:rFonts w:ascii="Times New Roman"/>
                <w:sz w:val="21"/>
                <w:szCs w:val="21"/>
              </w:rPr>
              <w:t xml:space="preserve">757</w:t>
            </w:r>
          </w:p>
        </w:tc>
        <w:tc>
          <w:tcPr>
            <w:shd w:fill="FFFFFF" w:val="clear"/>
            <w:tcMar>
              <w:top w:type="dxa" w:w="80"/>
              <w:left w:type="dxa" w:w="150"/>
              <w:bottom w:type="dxa" w:w="80"/>
              <w:right w:type="dxa" w:w="150"/>
            </w:tcMar>
          </w:tcPr>
          <w:p>
            <w:pPr>
              <w:spacing w:line="312"/>
            </w:pPr>
            <w:r>
              <w:rPr>
                <w:rFonts w:ascii="Times New Roman"/>
                <w:sz w:val="21"/>
                <w:szCs w:val="21"/>
              </w:rPr>
              <w:t xml:space="preserve">40.3%</w:t>
            </w:r>
          </w:p>
        </w:tc>
      </w:tr>
    </w:tbl>
    <w:p>
      <w:pPr>
        <w:pStyle w:val="Heading1"/>
        <w:spacing w:after="120" w:before="240" w:line="312"/>
      </w:pPr>
      <w:r>
        <w:rPr>
          <w:rFonts w:ascii="Arial"/>
          <w:b/>
          <w:bCs/>
          <w:color w:val="5B2C6F"/>
          <w:sz w:val="30"/>
          <w:szCs w:val="30"/>
        </w:rPr>
        <w:t xml:space="preserve">Summary and Recommendations</w:t>
      </w:r>
    </w:p>
    <w:p>
      <w:pPr>
        <w:spacing w:line="312"/>
        <w:jc w:val="both"/>
      </w:pPr>
      <w:r>
        <w:rPr>
          <w:rFonts w:ascii="Times New Roman"/>
          <w:color w:val="333333"/>
          <w:sz w:val="24"/>
          <w:szCs w:val="24"/>
        </w:rPr>
        <w:t xml:space="preserve">Revenue concentration in the main product line increased and retention improved. Cross-team efficiency rose and delivery lead times shortened versus last quarter. The business delivered steady growth this quarter, with core KPIs on target.</w:t>
      </w:r>
    </w:p>
    <w:p>
      <w:pPr>
        <w:pStyle w:val="Heading1"/>
        <w:spacing w:after="120" w:before="240" w:line="312"/>
      </w:pPr>
      <w:r>
        <w:rPr>
          <w:rFonts w:ascii="Arial"/>
          <w:b/>
          <w:bCs/>
          <w:color w:val="5B2C6F"/>
          <w:sz w:val="30"/>
          <w:szCs w:val="30"/>
        </w:rPr>
        <w:t xml:space="preserve">Next-Step Plan</w:t>
      </w:r>
    </w:p>
    <w:p>
      <w:pPr>
        <w:spacing w:line="312"/>
        <w:jc w:val="both"/>
      </w:pPr>
      <w:r>
        <w:rPr>
          <w:rFonts w:ascii="Times New Roman"/>
          <w:color w:val="333333"/>
          <w:sz w:val="24"/>
          <w:szCs w:val="24"/>
        </w:rPr>
        <w:t xml:space="preserve">Cost pressure and regional competition remain the principal risks to monitor. We recommend expanding channel investment and rebalancing resourcing to sustain growth. The business delivered steady growth this quarter, with core KPIs on target.</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2026-10-08T13:32:34.471Z</dcterms:created>
  <dcterms:modified xsi:type="dcterms:W3CDTF">2026-10-08T13:32:34.471Z</dcterms:modified>
</cp:coreProperties>
</file>

<file path=docProps/custom.xml><?xml version="1.0" encoding="utf-8"?>
<Properties xmlns="http://schemas.openxmlformats.org/officeDocument/2006/custom-properties" xmlns:vt="http://schemas.openxmlformats.org/officeDocument/2006/docPropsVTypes"/>
</file>