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5B2C6F"/>
          <w:sz w:val="30"/>
          <w:szCs w:val="30"/>
        </w:rPr>
        <w:t xml:space="preserve">Summary and Recommendations</w:t>
      </w:r>
    </w:p>
    <w:p>
      <w:pPr>
        <w:spacing w:line="312"/>
        <w:jc w:val="both"/>
      </w:pPr>
      <w:r>
        <w:rPr>
          <w:rFonts w:ascii="Times New Roman"/>
          <w:color w:val="333333"/>
          <w:sz w:val="24"/>
          <w:szCs w:val="24"/>
        </w:rPr>
        <w:t xml:space="preserve">Cost pressure and regional competition remain the principal risks to monitor. The business delivered steady growth this quarter, with core KPIs on target. We recommend expanding channel investment and rebalancing resourcing to sustain growth.</w:t>
      </w:r>
    </w:p>
    <w:p>
      <w:pPr>
        <w:pStyle w:val="Heading1"/>
        <w:spacing w:after="120" w:before="240" w:line="312"/>
      </w:pPr>
      <w:r>
        <w:rPr>
          <w:rFonts w:ascii="Arial"/>
          <w:b/>
          <w:bCs/>
          <w:color w:val="5B2C6F"/>
          <w:sz w:val="30"/>
          <w:szCs w:val="30"/>
        </w:rPr>
        <w:t xml:space="preserve">Risks and Challenges</w:t>
      </w:r>
    </w:p>
    <w:p>
      <w:pPr>
        <w:spacing w:line="312"/>
        <w:jc w:val="both"/>
      </w:pPr>
      <w:r>
        <w:rPr>
          <w:rFonts w:ascii="Times New Roman"/>
          <w:color w:val="333333"/>
          <w:sz w:val="24"/>
          <w:szCs w:val="24"/>
        </w:rPr>
        <w:t xml:space="preserve">We recommend expanding channel investment and rebalancing resourcing to sustain growth. Cross-team efficiency rose and delivery lead times shortened versus last quarter. Cost pressure and regional competition remain the principal risks to monitor.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5B2C6F"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5B2C6F"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5B2C6F"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Pulse Dashboard</w:t>
            </w:r>
          </w:p>
        </w:tc>
        <w:tc>
          <w:tcPr>
            <w:shd w:fill="FFFFFF" w:val="clear"/>
            <w:tcMar>
              <w:top w:type="dxa" w:w="80"/>
              <w:left w:type="dxa" w:w="150"/>
              <w:bottom w:type="dxa" w:w="80"/>
              <w:right w:type="dxa" w:w="150"/>
            </w:tcMar>
          </w:tcPr>
          <w:p>
            <w:pPr>
              <w:spacing w:line="312"/>
            </w:pPr>
            <w:r>
              <w:rPr>
                <w:rFonts w:ascii="Times New Roman"/>
                <w:sz w:val="21"/>
                <w:szCs w:val="21"/>
              </w:rPr>
              <w:t xml:space="preserve">971</w:t>
            </w:r>
          </w:p>
        </w:tc>
        <w:tc>
          <w:tcPr>
            <w:shd w:fill="FFFFFF" w:val="clear"/>
            <w:tcMar>
              <w:top w:type="dxa" w:w="80"/>
              <w:left w:type="dxa" w:w="150"/>
              <w:bottom w:type="dxa" w:w="80"/>
              <w:right w:type="dxa" w:w="150"/>
            </w:tcMar>
          </w:tcPr>
          <w:p>
            <w:pPr>
              <w:spacing w:line="312"/>
            </w:pPr>
            <w:r>
              <w:rPr>
                <w:rFonts w:ascii="Times New Roman"/>
                <w:sz w:val="21"/>
                <w:szCs w:val="21"/>
              </w:rPr>
              <w:t xml:space="preserve">14.3%</w:t>
            </w:r>
          </w:p>
        </w:tc>
      </w:tr>
      <w:tr>
        <w:trPr>
          <w:cantSplit/>
        </w:trPr>
        <w:tc>
          <w:tcPr>
            <w:shd w:fill="EADDF3" w:val="clear"/>
            <w:tcMar>
              <w:top w:type="dxa" w:w="80"/>
              <w:left w:type="dxa" w:w="150"/>
              <w:bottom w:type="dxa" w:w="80"/>
              <w:right w:type="dxa" w:w="150"/>
            </w:tcMar>
          </w:tcPr>
          <w:p>
            <w:pPr>
              <w:spacing w:line="312"/>
            </w:pPr>
            <w:r>
              <w:rPr>
                <w:rFonts w:ascii="Times New Roman"/>
                <w:sz w:val="21"/>
                <w:szCs w:val="21"/>
              </w:rPr>
              <w:t xml:space="preserve">Sales</w:t>
            </w:r>
          </w:p>
        </w:tc>
        <w:tc>
          <w:tcPr>
            <w:shd w:fill="EADDF3" w:val="clear"/>
            <w:tcMar>
              <w:top w:type="dxa" w:w="80"/>
              <w:left w:type="dxa" w:w="150"/>
              <w:bottom w:type="dxa" w:w="80"/>
              <w:right w:type="dxa" w:w="150"/>
            </w:tcMar>
          </w:tcPr>
          <w:p>
            <w:pPr>
              <w:spacing w:line="312"/>
            </w:pPr>
            <w:r>
              <w:rPr>
                <w:rFonts w:ascii="Times New Roman"/>
                <w:sz w:val="21"/>
                <w:szCs w:val="21"/>
              </w:rPr>
              <w:t xml:space="preserve">926</w:t>
            </w:r>
          </w:p>
        </w:tc>
        <w:tc>
          <w:tcPr>
            <w:shd w:fill="EADDF3" w:val="clear"/>
            <w:tcMar>
              <w:top w:type="dxa" w:w="80"/>
              <w:left w:type="dxa" w:w="150"/>
              <w:bottom w:type="dxa" w:w="80"/>
              <w:right w:type="dxa" w:w="150"/>
            </w:tcMar>
          </w:tcPr>
          <w:p>
            <w:pPr>
              <w:spacing w:line="312"/>
            </w:pPr>
            <w:r>
              <w:rPr>
                <w:rFonts w:ascii="Times New Roman"/>
                <w:sz w:val="21"/>
                <w:szCs w:val="21"/>
              </w:rPr>
              <w:t xml:space="preserve">23.2%</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Finance</w:t>
            </w:r>
          </w:p>
        </w:tc>
        <w:tc>
          <w:tcPr>
            <w:shd w:fill="FFFFFF" w:val="clear"/>
            <w:tcMar>
              <w:top w:type="dxa" w:w="80"/>
              <w:left w:type="dxa" w:w="150"/>
              <w:bottom w:type="dxa" w:w="80"/>
              <w:right w:type="dxa" w:w="150"/>
            </w:tcMar>
          </w:tcPr>
          <w:p>
            <w:pPr>
              <w:spacing w:line="312"/>
            </w:pPr>
            <w:r>
              <w:rPr>
                <w:rFonts w:ascii="Times New Roman"/>
                <w:sz w:val="21"/>
                <w:szCs w:val="21"/>
              </w:rPr>
              <w:t xml:space="preserve">528</w:t>
            </w:r>
          </w:p>
        </w:tc>
        <w:tc>
          <w:tcPr>
            <w:shd w:fill="FFFFFF" w:val="clear"/>
            <w:tcMar>
              <w:top w:type="dxa" w:w="80"/>
              <w:left w:type="dxa" w:w="150"/>
              <w:bottom w:type="dxa" w:w="80"/>
              <w:right w:type="dxa" w:w="150"/>
            </w:tcMar>
          </w:tcPr>
          <w:p>
            <w:pPr>
              <w:spacing w:line="312"/>
            </w:pPr>
            <w:r>
              <w:rPr>
                <w:rFonts w:ascii="Times New Roman"/>
                <w:sz w:val="21"/>
                <w:szCs w:val="21"/>
              </w:rPr>
              <w:t xml:space="preserve">44.6%</w:t>
            </w:r>
          </w:p>
        </w:tc>
      </w:tr>
      <w:tr>
        <w:trPr>
          <w:cantSplit/>
        </w:trPr>
        <w:tc>
          <w:tcPr>
            <w:shd w:fill="EADDF3" w:val="clear"/>
            <w:tcMar>
              <w:top w:type="dxa" w:w="80"/>
              <w:left w:type="dxa" w:w="150"/>
              <w:bottom w:type="dxa" w:w="80"/>
              <w:right w:type="dxa" w:w="150"/>
            </w:tcMar>
          </w:tcPr>
          <w:p>
            <w:pPr>
              <w:spacing w:line="312"/>
            </w:pPr>
            <w:r>
              <w:rPr>
                <w:rFonts w:ascii="Times New Roman"/>
                <w:sz w:val="21"/>
                <w:szCs w:val="21"/>
              </w:rPr>
              <w:t xml:space="preserve">Operations</w:t>
            </w:r>
          </w:p>
        </w:tc>
        <w:tc>
          <w:tcPr>
            <w:shd w:fill="EADDF3" w:val="clear"/>
            <w:tcMar>
              <w:top w:type="dxa" w:w="80"/>
              <w:left w:type="dxa" w:w="150"/>
              <w:bottom w:type="dxa" w:w="80"/>
              <w:right w:type="dxa" w:w="150"/>
            </w:tcMar>
          </w:tcPr>
          <w:p>
            <w:pPr>
              <w:spacing w:line="312"/>
            </w:pPr>
            <w:r>
              <w:rPr>
                <w:rFonts w:ascii="Times New Roman"/>
                <w:sz w:val="21"/>
                <w:szCs w:val="21"/>
              </w:rPr>
              <w:t xml:space="preserve">443</w:t>
            </w:r>
          </w:p>
        </w:tc>
        <w:tc>
          <w:tcPr>
            <w:shd w:fill="EADDF3" w:val="clear"/>
            <w:tcMar>
              <w:top w:type="dxa" w:w="80"/>
              <w:left w:type="dxa" w:w="150"/>
              <w:bottom w:type="dxa" w:w="80"/>
              <w:right w:type="dxa" w:w="150"/>
            </w:tcMar>
          </w:tcPr>
          <w:p>
            <w:pPr>
              <w:spacing w:line="312"/>
            </w:pPr>
            <w:r>
              <w:rPr>
                <w:rFonts w:ascii="Times New Roman"/>
                <w:sz w:val="21"/>
                <w:szCs w:val="21"/>
              </w:rPr>
              <w:t xml:space="preserve">36.7%</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Pulse Dashboard</w:t>
            </w:r>
          </w:p>
        </w:tc>
        <w:tc>
          <w:tcPr>
            <w:shd w:fill="FFFFFF" w:val="clear"/>
            <w:tcMar>
              <w:top w:type="dxa" w:w="80"/>
              <w:left w:type="dxa" w:w="150"/>
              <w:bottom w:type="dxa" w:w="80"/>
              <w:right w:type="dxa" w:w="150"/>
            </w:tcMar>
          </w:tcPr>
          <w:p>
            <w:pPr>
              <w:spacing w:line="312"/>
            </w:pPr>
            <w:r>
              <w:rPr>
                <w:rFonts w:ascii="Times New Roman"/>
                <w:sz w:val="21"/>
                <w:szCs w:val="21"/>
              </w:rPr>
              <w:t xml:space="preserve">697</w:t>
            </w:r>
          </w:p>
        </w:tc>
        <w:tc>
          <w:tcPr>
            <w:shd w:fill="FFFFFF" w:val="clear"/>
            <w:tcMar>
              <w:top w:type="dxa" w:w="80"/>
              <w:left w:type="dxa" w:w="150"/>
              <w:bottom w:type="dxa" w:w="80"/>
              <w:right w:type="dxa" w:w="150"/>
            </w:tcMar>
          </w:tcPr>
          <w:p>
            <w:pPr>
              <w:spacing w:line="312"/>
            </w:pPr>
            <w:r>
              <w:rPr>
                <w:rFonts w:ascii="Times New Roman"/>
                <w:sz w:val="21"/>
                <w:szCs w:val="21"/>
              </w:rPr>
              <w:t xml:space="preserve">24.1%</w:t>
            </w:r>
          </w:p>
        </w:tc>
      </w:tr>
    </w:tbl>
    <w:p>
      <w:pPr>
        <w:pStyle w:val="Heading1"/>
        <w:spacing w:after="120" w:before="240" w:line="312"/>
      </w:pPr>
      <w:r>
        <w:rPr>
          <w:rFonts w:ascii="Arial"/>
          <w:b/>
          <w:bCs/>
          <w:color w:val="5B2C6F"/>
          <w:sz w:val="30"/>
          <w:szCs w:val="30"/>
        </w:rPr>
        <w:t xml:space="preserve">Executive Overview</w:t>
      </w:r>
    </w:p>
    <w:p>
      <w:pPr>
        <w:spacing w:line="312"/>
        <w:jc w:val="both"/>
      </w:pPr>
      <w:r>
        <w:rPr>
          <w:rFonts w:ascii="Times New Roman"/>
          <w:color w:val="333333"/>
          <w:sz w:val="24"/>
          <w:szCs w:val="24"/>
        </w:rPr>
        <w:t xml:space="preserve">We recommend expanding channel investment and rebalancing resourcing to sustain growth. Cross-team efficiency rose and delivery lead times shortened versus last quarter. The business delivered steady growth this quarter, with core KPIs on target.</w:t>
      </w:r>
    </w:p>
    <w:p>
      <w:pPr>
        <w:pStyle w:val="Heading1"/>
        <w:spacing w:after="120" w:before="240" w:line="312"/>
      </w:pPr>
      <w:r>
        <w:rPr>
          <w:rFonts w:ascii="Arial"/>
          <w:b/>
          <w:bCs/>
          <w:color w:val="5B2C6F"/>
          <w:sz w:val="30"/>
          <w:szCs w:val="30"/>
        </w:rPr>
        <w:t xml:space="preserve">Performance Analysis</w:t>
      </w:r>
    </w:p>
    <w:p>
      <w:pPr>
        <w:spacing w:line="312"/>
        <w:jc w:val="both"/>
      </w:pPr>
      <w:r>
        <w:rPr>
          <w:rFonts w:ascii="Times New Roman"/>
          <w:color w:val="333333"/>
          <w:sz w:val="24"/>
          <w:szCs w:val="24"/>
        </w:rPr>
        <w:t xml:space="preserve">Revenue concentration in the main product line increased and retention improved. Cost pressure and regional competition remain the principal risks to monitor. The business delivered steady growth this quarter, with core KPIs on target.</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2026-10-08T13:32:42.266Z</dcterms:created>
  <dcterms:modified xsi:type="dcterms:W3CDTF">2026-10-08T13:32:42.266Z</dcterms:modified>
</cp:coreProperties>
</file>

<file path=docProps/custom.xml><?xml version="1.0" encoding="utf-8"?>
<Properties xmlns="http://schemas.openxmlformats.org/officeDocument/2006/custom-properties" xmlns:vt="http://schemas.openxmlformats.org/officeDocument/2006/docPropsVTypes"/>
</file>