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1F4E79"/>
          <w:sz w:val="30"/>
          <w:szCs w:val="30"/>
        </w:rPr>
        <w:t xml:space="preserve">Executive Overview</w:t>
      </w:r>
    </w:p>
    <w:p>
      <w:pPr>
        <w:spacing w:line="312"/>
        <w:jc w:val="both"/>
      </w:pPr>
      <w:r>
        <w:rPr>
          <w:rFonts w:ascii="Times New Roman"/>
          <w:color w:val="333333"/>
          <w:sz w:val="24"/>
          <w:szCs w:val="24"/>
        </w:rPr>
        <w:t xml:space="preserve">Revenue concentration in the main product line increased and retention improved. We recommend expanding channel investment and rebalancing resourcing to sustain growth. Cross-team efficiency rose and delivery lead times shortened versus last quarter.</w:t>
      </w:r>
    </w:p>
    <w:p>
      <w:pPr>
        <w:pStyle w:val="Heading1"/>
        <w:spacing w:after="120" w:before="240" w:line="312"/>
      </w:pPr>
      <w:r>
        <w:rPr>
          <w:rFonts w:ascii="Arial"/>
          <w:b/>
          <w:bCs/>
          <w:color w:val="1F4E79"/>
          <w:sz w:val="30"/>
          <w:szCs w:val="30"/>
        </w:rPr>
        <w:t xml:space="preserve">Key Project Updates</w:t>
      </w:r>
    </w:p>
    <w:p>
      <w:pPr>
        <w:spacing w:line="312"/>
        <w:jc w:val="both"/>
      </w:pPr>
      <w:r>
        <w:rPr>
          <w:rFonts w:ascii="Times New Roman"/>
          <w:color w:val="333333"/>
          <w:sz w:val="24"/>
          <w:szCs w:val="24"/>
        </w:rPr>
        <w:t xml:space="preserve">We recommend expanding channel investment and rebalancing resourcing to sustain growth. Revenue concentration in the main product line increased and retention improved. The business delivered steady growth this quarter, with core KPIs on target.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1F4E79"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1F4E79"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1F4E79"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Nimbus Storage</w:t>
            </w:r>
          </w:p>
        </w:tc>
        <w:tc>
          <w:tcPr>
            <w:shd w:fill="FFFFFF" w:val="clear"/>
            <w:tcMar>
              <w:top w:type="dxa" w:w="80"/>
              <w:left w:type="dxa" w:w="150"/>
              <w:bottom w:type="dxa" w:w="80"/>
              <w:right w:type="dxa" w:w="150"/>
            </w:tcMar>
          </w:tcPr>
          <w:p>
            <w:pPr>
              <w:spacing w:line="312"/>
            </w:pPr>
            <w:r>
              <w:rPr>
                <w:rFonts w:ascii="Times New Roman"/>
                <w:sz w:val="21"/>
                <w:szCs w:val="21"/>
              </w:rPr>
              <w:t xml:space="preserve">348</w:t>
            </w:r>
          </w:p>
        </w:tc>
        <w:tc>
          <w:tcPr>
            <w:shd w:fill="FFFFFF" w:val="clear"/>
            <w:tcMar>
              <w:top w:type="dxa" w:w="80"/>
              <w:left w:type="dxa" w:w="150"/>
              <w:bottom w:type="dxa" w:w="80"/>
              <w:right w:type="dxa" w:w="150"/>
            </w:tcMar>
          </w:tcPr>
          <w:p>
            <w:pPr>
              <w:spacing w:line="312"/>
            </w:pPr>
            <w:r>
              <w:rPr>
                <w:rFonts w:ascii="Times New Roman"/>
                <w:sz w:val="21"/>
                <w:szCs w:val="21"/>
              </w:rPr>
              <w:t xml:space="preserve">43.5%</w:t>
            </w:r>
          </w:p>
        </w:tc>
      </w:tr>
      <w:tr>
        <w:trPr>
          <w:cantSplit/>
        </w:trPr>
        <w:tc>
          <w:tcPr>
            <w:shd w:fill="D6E4F0" w:val="clear"/>
            <w:tcMar>
              <w:top w:type="dxa" w:w="80"/>
              <w:left w:type="dxa" w:w="150"/>
              <w:bottom w:type="dxa" w:w="80"/>
              <w:right w:type="dxa" w:w="150"/>
            </w:tcMar>
          </w:tcPr>
          <w:p>
            <w:pPr>
              <w:spacing w:line="312"/>
            </w:pPr>
            <w:r>
              <w:rPr>
                <w:rFonts w:ascii="Times New Roman"/>
                <w:sz w:val="21"/>
                <w:szCs w:val="21"/>
              </w:rPr>
              <w:t xml:space="preserve">Orbit CRM</w:t>
            </w:r>
          </w:p>
        </w:tc>
        <w:tc>
          <w:tcPr>
            <w:shd w:fill="D6E4F0" w:val="clear"/>
            <w:tcMar>
              <w:top w:type="dxa" w:w="80"/>
              <w:left w:type="dxa" w:w="150"/>
              <w:bottom w:type="dxa" w:w="80"/>
              <w:right w:type="dxa" w:w="150"/>
            </w:tcMar>
          </w:tcPr>
          <w:p>
            <w:pPr>
              <w:spacing w:line="312"/>
            </w:pPr>
            <w:r>
              <w:rPr>
                <w:rFonts w:ascii="Times New Roman"/>
                <w:sz w:val="21"/>
                <w:szCs w:val="21"/>
              </w:rPr>
              <w:t xml:space="preserve">418</w:t>
            </w:r>
          </w:p>
        </w:tc>
        <w:tc>
          <w:tcPr>
            <w:shd w:fill="D6E4F0" w:val="clear"/>
            <w:tcMar>
              <w:top w:type="dxa" w:w="80"/>
              <w:left w:type="dxa" w:w="150"/>
              <w:bottom w:type="dxa" w:w="80"/>
              <w:right w:type="dxa" w:w="150"/>
            </w:tcMar>
          </w:tcPr>
          <w:p>
            <w:pPr>
              <w:spacing w:line="312"/>
            </w:pPr>
            <w:r>
              <w:rPr>
                <w:rFonts w:ascii="Times New Roman"/>
                <w:sz w:val="21"/>
                <w:szCs w:val="21"/>
              </w:rPr>
              <w:t xml:space="preserve">24.7%</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Engineering</w:t>
            </w:r>
          </w:p>
        </w:tc>
        <w:tc>
          <w:tcPr>
            <w:shd w:fill="FFFFFF" w:val="clear"/>
            <w:tcMar>
              <w:top w:type="dxa" w:w="80"/>
              <w:left w:type="dxa" w:w="150"/>
              <w:bottom w:type="dxa" w:w="80"/>
              <w:right w:type="dxa" w:w="150"/>
            </w:tcMar>
          </w:tcPr>
          <w:p>
            <w:pPr>
              <w:spacing w:line="312"/>
            </w:pPr>
            <w:r>
              <w:rPr>
                <w:rFonts w:ascii="Times New Roman"/>
                <w:sz w:val="21"/>
                <w:szCs w:val="21"/>
              </w:rPr>
              <w:t xml:space="preserve">936</w:t>
            </w:r>
          </w:p>
        </w:tc>
        <w:tc>
          <w:tcPr>
            <w:shd w:fill="FFFFFF" w:val="clear"/>
            <w:tcMar>
              <w:top w:type="dxa" w:w="80"/>
              <w:left w:type="dxa" w:w="150"/>
              <w:bottom w:type="dxa" w:w="80"/>
              <w:right w:type="dxa" w:w="150"/>
            </w:tcMar>
          </w:tcPr>
          <w:p>
            <w:pPr>
              <w:spacing w:line="312"/>
            </w:pPr>
            <w:r>
              <w:rPr>
                <w:rFonts w:ascii="Times New Roman"/>
                <w:sz w:val="21"/>
                <w:szCs w:val="21"/>
              </w:rPr>
              <w:t xml:space="preserve">40.5%</w:t>
            </w:r>
          </w:p>
        </w:tc>
      </w:tr>
      <w:tr>
        <w:trPr>
          <w:cantSplit/>
        </w:trPr>
        <w:tc>
          <w:tcPr>
            <w:shd w:fill="D6E4F0" w:val="clear"/>
            <w:tcMar>
              <w:top w:type="dxa" w:w="80"/>
              <w:left w:type="dxa" w:w="150"/>
              <w:bottom w:type="dxa" w:w="80"/>
              <w:right w:type="dxa" w:w="150"/>
            </w:tcMar>
          </w:tcPr>
          <w:p>
            <w:pPr>
              <w:spacing w:line="312"/>
            </w:pPr>
            <w:r>
              <w:rPr>
                <w:rFonts w:ascii="Times New Roman"/>
                <w:sz w:val="21"/>
                <w:szCs w:val="21"/>
              </w:rPr>
              <w:t xml:space="preserve">Marketing</w:t>
            </w:r>
          </w:p>
        </w:tc>
        <w:tc>
          <w:tcPr>
            <w:shd w:fill="D6E4F0" w:val="clear"/>
            <w:tcMar>
              <w:top w:type="dxa" w:w="80"/>
              <w:left w:type="dxa" w:w="150"/>
              <w:bottom w:type="dxa" w:w="80"/>
              <w:right w:type="dxa" w:w="150"/>
            </w:tcMar>
          </w:tcPr>
          <w:p>
            <w:pPr>
              <w:spacing w:line="312"/>
            </w:pPr>
            <w:r>
              <w:rPr>
                <w:rFonts w:ascii="Times New Roman"/>
                <w:sz w:val="21"/>
                <w:szCs w:val="21"/>
              </w:rPr>
              <w:t xml:space="preserve">186</w:t>
            </w:r>
          </w:p>
        </w:tc>
        <w:tc>
          <w:tcPr>
            <w:shd w:fill="D6E4F0" w:val="clear"/>
            <w:tcMar>
              <w:top w:type="dxa" w:w="80"/>
              <w:left w:type="dxa" w:w="150"/>
              <w:bottom w:type="dxa" w:w="80"/>
              <w:right w:type="dxa" w:w="150"/>
            </w:tcMar>
          </w:tcPr>
          <w:p>
            <w:pPr>
              <w:spacing w:line="312"/>
            </w:pPr>
            <w:r>
              <w:rPr>
                <w:rFonts w:ascii="Times New Roman"/>
                <w:sz w:val="21"/>
                <w:szCs w:val="21"/>
              </w:rPr>
              <w:t xml:space="preserve">31.3%</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Sales</w:t>
            </w:r>
          </w:p>
        </w:tc>
        <w:tc>
          <w:tcPr>
            <w:shd w:fill="FFFFFF" w:val="clear"/>
            <w:tcMar>
              <w:top w:type="dxa" w:w="80"/>
              <w:left w:type="dxa" w:w="150"/>
              <w:bottom w:type="dxa" w:w="80"/>
              <w:right w:type="dxa" w:w="150"/>
            </w:tcMar>
          </w:tcPr>
          <w:p>
            <w:pPr>
              <w:spacing w:line="312"/>
            </w:pPr>
            <w:r>
              <w:rPr>
                <w:rFonts w:ascii="Times New Roman"/>
                <w:sz w:val="21"/>
                <w:szCs w:val="21"/>
              </w:rPr>
              <w:t xml:space="preserve">158</w:t>
            </w:r>
          </w:p>
        </w:tc>
        <w:tc>
          <w:tcPr>
            <w:shd w:fill="FFFFFF" w:val="clear"/>
            <w:tcMar>
              <w:top w:type="dxa" w:w="80"/>
              <w:left w:type="dxa" w:w="150"/>
              <w:bottom w:type="dxa" w:w="80"/>
              <w:right w:type="dxa" w:w="150"/>
            </w:tcMar>
          </w:tcPr>
          <w:p>
            <w:pPr>
              <w:spacing w:line="312"/>
            </w:pPr>
            <w:r>
              <w:rPr>
                <w:rFonts w:ascii="Times New Roman"/>
                <w:sz w:val="21"/>
                <w:szCs w:val="21"/>
              </w:rPr>
              <w:t xml:space="preserve">6.8%</w:t>
            </w:r>
          </w:p>
        </w:tc>
      </w:tr>
    </w:tbl>
    <w:p>
      <w:pPr>
        <w:pStyle w:val="Heading1"/>
        <w:spacing w:after="120" w:before="240" w:line="312"/>
      </w:pPr>
      <w:r>
        <w:rPr>
          <w:rFonts w:ascii="Arial"/>
          <w:b/>
          <w:bCs/>
          <w:color w:val="1F4E79"/>
          <w:sz w:val="30"/>
          <w:szCs w:val="30"/>
        </w:rPr>
        <w:t xml:space="preserve">Summary and Recommendations</w:t>
      </w:r>
    </w:p>
    <w:p>
      <w:pPr>
        <w:spacing w:line="312"/>
        <w:jc w:val="both"/>
      </w:pPr>
      <w:r>
        <w:rPr>
          <w:rFonts w:ascii="Times New Roman"/>
          <w:color w:val="333333"/>
          <w:sz w:val="24"/>
          <w:szCs w:val="24"/>
        </w:rPr>
        <w:t xml:space="preserve">The business delivered steady growth this quarter, with core KPIs on target. Revenue concentration in the main product line increased and retention improved. Cross-team efficiency rose and delivery lead times shortened versus last quarter.</w:t>
      </w:r>
    </w:p>
    <w:p>
      <w:pPr>
        <w:pStyle w:val="Heading1"/>
        <w:spacing w:after="120" w:before="240" w:line="312"/>
      </w:pPr>
      <w:r>
        <w:rPr>
          <w:rFonts w:ascii="Arial"/>
          <w:b/>
          <w:bCs/>
          <w:color w:val="1F4E79"/>
          <w:sz w:val="30"/>
          <w:szCs w:val="30"/>
        </w:rPr>
        <w:t xml:space="preserve">Performance Analysis</w:t>
      </w:r>
    </w:p>
    <w:p>
      <w:pPr>
        <w:spacing w:line="312"/>
        <w:jc w:val="both"/>
      </w:pPr>
      <w:r>
        <w:rPr>
          <w:rFonts w:ascii="Times New Roman"/>
          <w:color w:val="333333"/>
          <w:sz w:val="24"/>
          <w:szCs w:val="24"/>
        </w:rPr>
        <w:t xml:space="preserve">Revenue concentration in the main product line increased and retention improved. Cross-team efficiency rose and delivery lead times shortened versus last quarter. Cost pressure and regional competition remain the principal risks to monitor.</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2026-10-08T13:32:46.148Z</dcterms:created>
  <dcterms:modified xsi:type="dcterms:W3CDTF">2026-10-08T13:32:46.149Z</dcterms:modified>
</cp:coreProperties>
</file>

<file path=docProps/custom.xml><?xml version="1.0" encoding="utf-8"?>
<Properties xmlns="http://schemas.openxmlformats.org/officeDocument/2006/custom-properties" xmlns:vt="http://schemas.openxmlformats.org/officeDocument/2006/docPropsVTypes"/>
</file>