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x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We recommend expanding channel investment and rebalancing resourcing to sustain growth. Revenue concentration in the main product line increased and retention improved. Cross-team efficiency rose and delivery lead times shortened versus last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