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312"/>
      </w:pPr>
      <w:r>
        <w:rPr>
          <w:rFonts w:ascii="Arial"/>
          <w:b/>
          <w:bCs/>
          <w:color w:val="7B3B00"/>
          <w:sz w:val="30"/>
          <w:szCs w:val="30"/>
        </w:rPr>
        <w:t xml:space="preserve">Summary and Recommendations</w:t>
      </w:r>
    </w:p>
    <w:p>
      <w:pPr>
        <w:spacing w:line="312"/>
        <w:jc w:val="both"/>
      </w:pPr>
      <w:r>
        <w:rPr>
          <w:rFonts w:ascii="Times New Roman"/>
          <w:color w:val="333333"/>
          <w:sz w:val="24"/>
          <w:szCs w:val="24"/>
        </w:rPr>
        <w:t xml:space="preserve">Cross-team efficiency rose and delivery lead times shortened versus last quarter. Cost pressure and regional competition remain the principal risks to monitor. Revenue concentration in the main product line increased and retention improved.</w:t>
      </w:r>
    </w:p>
    <w:p>
      <w:pPr>
        <w:pStyle w:val="Heading1"/>
        <w:spacing w:after="120" w:before="240" w:line="312"/>
      </w:pPr>
      <w:r>
        <w:rPr>
          <w:rFonts w:ascii="Arial"/>
          <w:b/>
          <w:bCs/>
          <w:color w:val="7B3B00"/>
          <w:sz w:val="30"/>
          <w:szCs w:val="30"/>
        </w:rPr>
        <w:t xml:space="preserve">Performance Analysis</w:t>
      </w:r>
    </w:p>
    <w:p>
      <w:pPr>
        <w:spacing w:line="312"/>
        <w:jc w:val="both"/>
      </w:pPr>
      <w:r>
        <w:rPr>
          <w:rFonts w:ascii="Times New Roman"/>
          <w:color w:val="333333"/>
          <w:sz w:val="24"/>
          <w:szCs w:val="24"/>
        </w:rPr>
        <w:t xml:space="preserve">We recommend expanding channel investment and rebalancing resourcing to sustain growth. Revenue concentration in the main product line increased and retention improved. Cost pressure and regional competition remain the principal risks to monitor.</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769"/>
        <w:gridCol w:w="2769"/>
        <w:gridCol w:w="2769"/>
      </w:tblGrid>
      <w:tr>
        <w:trPr>
          <w:cantSplit/>
          <w:tblHeader/>
        </w:trPr>
        <w:tc>
          <w:tcPr>
            <w:shd w:fill="7B3B00" w:val="clear"/>
            <w:tcMar>
              <w:top w:type="dxa" w:w="100"/>
              <w:left w:type="dxa" w:w="150"/>
              <w:bottom w:type="dxa" w:w="100"/>
              <w:right w:type="dxa" w:w="150"/>
            </w:tcMar>
          </w:tcPr>
          <w:p>
            <w:pPr>
              <w:spacing w:line="312"/>
            </w:pPr>
            <w:r>
              <w:rPr>
                <w:rFonts w:ascii="Arial"/>
                <w:b/>
                <w:bCs/>
                <w:color w:val="FFFFFF"/>
                <w:sz w:val="21"/>
                <w:szCs w:val="21"/>
              </w:rPr>
              <w:t xml:space="preserve">Item</w:t>
            </w:r>
          </w:p>
        </w:tc>
        <w:tc>
          <w:tcPr>
            <w:shd w:fill="7B3B00" w:val="clear"/>
            <w:tcMar>
              <w:top w:type="dxa" w:w="100"/>
              <w:left w:type="dxa" w:w="150"/>
              <w:bottom w:type="dxa" w:w="100"/>
              <w:right w:type="dxa" w:w="150"/>
            </w:tcMar>
          </w:tcPr>
          <w:p>
            <w:pPr>
              <w:spacing w:line="312"/>
            </w:pPr>
            <w:r>
              <w:rPr>
                <w:rFonts w:ascii="Arial"/>
                <w:b/>
                <w:bCs/>
                <w:color w:val="FFFFFF"/>
                <w:sz w:val="21"/>
                <w:szCs w:val="21"/>
              </w:rPr>
              <w:t xml:space="preserve">Revenue (k)</w:t>
            </w:r>
          </w:p>
        </w:tc>
        <w:tc>
          <w:tcPr>
            <w:shd w:fill="7B3B00" w:val="clear"/>
            <w:tcMar>
              <w:top w:type="dxa" w:w="100"/>
              <w:left w:type="dxa" w:w="150"/>
              <w:bottom w:type="dxa" w:w="100"/>
              <w:right w:type="dxa" w:w="150"/>
            </w:tcMar>
          </w:tcPr>
          <w:p>
            <w:pPr>
              <w:spacing w:line="312"/>
            </w:pPr>
            <w:r>
              <w:rPr>
                <w:rFonts w:ascii="Arial"/>
                <w:b/>
                <w:bCs/>
                <w:color w:val="FFFFFF"/>
                <w:sz w:val="21"/>
                <w:szCs w:val="21"/>
              </w:rPr>
              <w:t xml:space="preserve">YoY</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Pulse Dashboard</w:t>
            </w:r>
          </w:p>
        </w:tc>
        <w:tc>
          <w:tcPr>
            <w:shd w:fill="FFFFFF" w:val="clear"/>
            <w:tcMar>
              <w:top w:type="dxa" w:w="80"/>
              <w:left w:type="dxa" w:w="150"/>
              <w:bottom w:type="dxa" w:w="80"/>
              <w:right w:type="dxa" w:w="150"/>
            </w:tcMar>
          </w:tcPr>
          <w:p>
            <w:pPr>
              <w:spacing w:line="312"/>
            </w:pPr>
            <w:r>
              <w:rPr>
                <w:rFonts w:ascii="Times New Roman"/>
                <w:sz w:val="21"/>
                <w:szCs w:val="21"/>
              </w:rPr>
              <w:t xml:space="preserve">275</w:t>
            </w:r>
          </w:p>
        </w:tc>
        <w:tc>
          <w:tcPr>
            <w:shd w:fill="FFFFFF" w:val="clear"/>
            <w:tcMar>
              <w:top w:type="dxa" w:w="80"/>
              <w:left w:type="dxa" w:w="150"/>
              <w:bottom w:type="dxa" w:w="80"/>
              <w:right w:type="dxa" w:w="150"/>
            </w:tcMar>
          </w:tcPr>
          <w:p>
            <w:pPr>
              <w:spacing w:line="312"/>
            </w:pPr>
            <w:r>
              <w:rPr>
                <w:rFonts w:ascii="Times New Roman"/>
                <w:sz w:val="21"/>
                <w:szCs w:val="21"/>
              </w:rPr>
              <w:t xml:space="preserve">11.4%</w:t>
            </w:r>
          </w:p>
        </w:tc>
      </w:tr>
      <w:tr>
        <w:trPr>
          <w:cantSplit/>
        </w:trPr>
        <w:tc>
          <w:tcPr>
            <w:shd w:fill="F5E6D3" w:val="clear"/>
            <w:tcMar>
              <w:top w:type="dxa" w:w="80"/>
              <w:left w:type="dxa" w:w="150"/>
              <w:bottom w:type="dxa" w:w="80"/>
              <w:right w:type="dxa" w:w="150"/>
            </w:tcMar>
          </w:tcPr>
          <w:p>
            <w:pPr>
              <w:spacing w:line="312"/>
            </w:pPr>
            <w:r>
              <w:rPr>
                <w:rFonts w:ascii="Times New Roman"/>
                <w:sz w:val="21"/>
                <w:szCs w:val="21"/>
              </w:rPr>
              <w:t xml:space="preserve">People Ops</w:t>
            </w:r>
          </w:p>
        </w:tc>
        <w:tc>
          <w:tcPr>
            <w:shd w:fill="F5E6D3" w:val="clear"/>
            <w:tcMar>
              <w:top w:type="dxa" w:w="80"/>
              <w:left w:type="dxa" w:w="150"/>
              <w:bottom w:type="dxa" w:w="80"/>
              <w:right w:type="dxa" w:w="150"/>
            </w:tcMar>
          </w:tcPr>
          <w:p>
            <w:pPr>
              <w:spacing w:line="312"/>
            </w:pPr>
            <w:r>
              <w:rPr>
                <w:rFonts w:ascii="Times New Roman"/>
                <w:sz w:val="21"/>
                <w:szCs w:val="21"/>
              </w:rPr>
              <w:t xml:space="preserve">286</w:t>
            </w:r>
          </w:p>
        </w:tc>
        <w:tc>
          <w:tcPr>
            <w:shd w:fill="F5E6D3" w:val="clear"/>
            <w:tcMar>
              <w:top w:type="dxa" w:w="80"/>
              <w:left w:type="dxa" w:w="150"/>
              <w:bottom w:type="dxa" w:w="80"/>
              <w:right w:type="dxa" w:w="150"/>
            </w:tcMar>
          </w:tcPr>
          <w:p>
            <w:pPr>
              <w:spacing w:line="312"/>
            </w:pPr>
            <w:r>
              <w:rPr>
                <w:rFonts w:ascii="Times New Roman"/>
                <w:sz w:val="21"/>
                <w:szCs w:val="21"/>
              </w:rPr>
              <w:t xml:space="preserve">-8.0%</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Vertex Payroll</w:t>
            </w:r>
          </w:p>
        </w:tc>
        <w:tc>
          <w:tcPr>
            <w:shd w:fill="FFFFFF" w:val="clear"/>
            <w:tcMar>
              <w:top w:type="dxa" w:w="80"/>
              <w:left w:type="dxa" w:w="150"/>
              <w:bottom w:type="dxa" w:w="80"/>
              <w:right w:type="dxa" w:w="150"/>
            </w:tcMar>
          </w:tcPr>
          <w:p>
            <w:pPr>
              <w:spacing w:line="312"/>
            </w:pPr>
            <w:r>
              <w:rPr>
                <w:rFonts w:ascii="Times New Roman"/>
                <w:sz w:val="21"/>
                <w:szCs w:val="21"/>
              </w:rPr>
              <w:t xml:space="preserve">252</w:t>
            </w:r>
          </w:p>
        </w:tc>
        <w:tc>
          <w:tcPr>
            <w:shd w:fill="FFFFFF" w:val="clear"/>
            <w:tcMar>
              <w:top w:type="dxa" w:w="80"/>
              <w:left w:type="dxa" w:w="150"/>
              <w:bottom w:type="dxa" w:w="80"/>
              <w:right w:type="dxa" w:w="150"/>
            </w:tcMar>
          </w:tcPr>
          <w:p>
            <w:pPr>
              <w:spacing w:line="312"/>
            </w:pPr>
            <w:r>
              <w:rPr>
                <w:rFonts w:ascii="Times New Roman"/>
                <w:sz w:val="21"/>
                <w:szCs w:val="21"/>
              </w:rPr>
              <w:t xml:space="preserve">-6.9%</w:t>
            </w:r>
          </w:p>
        </w:tc>
      </w:tr>
      <w:tr>
        <w:trPr>
          <w:cantSplit/>
        </w:trPr>
        <w:tc>
          <w:tcPr>
            <w:shd w:fill="F5E6D3" w:val="clear"/>
            <w:tcMar>
              <w:top w:type="dxa" w:w="80"/>
              <w:left w:type="dxa" w:w="150"/>
              <w:bottom w:type="dxa" w:w="80"/>
              <w:right w:type="dxa" w:w="150"/>
            </w:tcMar>
          </w:tcPr>
          <w:p>
            <w:pPr>
              <w:spacing w:line="312"/>
            </w:pPr>
            <w:r>
              <w:rPr>
                <w:rFonts w:ascii="Times New Roman"/>
                <w:sz w:val="21"/>
                <w:szCs w:val="21"/>
              </w:rPr>
              <w:t xml:space="preserve">People Ops</w:t>
            </w:r>
          </w:p>
        </w:tc>
        <w:tc>
          <w:tcPr>
            <w:shd w:fill="F5E6D3" w:val="clear"/>
            <w:tcMar>
              <w:top w:type="dxa" w:w="80"/>
              <w:left w:type="dxa" w:w="150"/>
              <w:bottom w:type="dxa" w:w="80"/>
              <w:right w:type="dxa" w:w="150"/>
            </w:tcMar>
          </w:tcPr>
          <w:p>
            <w:pPr>
              <w:spacing w:line="312"/>
            </w:pPr>
            <w:r>
              <w:rPr>
                <w:rFonts w:ascii="Times New Roman"/>
                <w:sz w:val="21"/>
                <w:szCs w:val="21"/>
              </w:rPr>
              <w:t xml:space="preserve">367</w:t>
            </w:r>
          </w:p>
        </w:tc>
        <w:tc>
          <w:tcPr>
            <w:shd w:fill="F5E6D3" w:val="clear"/>
            <w:tcMar>
              <w:top w:type="dxa" w:w="80"/>
              <w:left w:type="dxa" w:w="150"/>
              <w:bottom w:type="dxa" w:w="80"/>
              <w:right w:type="dxa" w:w="150"/>
            </w:tcMar>
          </w:tcPr>
          <w:p>
            <w:pPr>
              <w:spacing w:line="312"/>
            </w:pPr>
            <w:r>
              <w:rPr>
                <w:rFonts w:ascii="Times New Roman"/>
                <w:sz w:val="21"/>
                <w:szCs w:val="21"/>
              </w:rPr>
              <w:t xml:space="preserve">-4.2%</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Finance</w:t>
            </w:r>
          </w:p>
        </w:tc>
        <w:tc>
          <w:tcPr>
            <w:shd w:fill="FFFFFF" w:val="clear"/>
            <w:tcMar>
              <w:top w:type="dxa" w:w="80"/>
              <w:left w:type="dxa" w:w="150"/>
              <w:bottom w:type="dxa" w:w="80"/>
              <w:right w:type="dxa" w:w="150"/>
            </w:tcMar>
          </w:tcPr>
          <w:p>
            <w:pPr>
              <w:spacing w:line="312"/>
            </w:pPr>
            <w:r>
              <w:rPr>
                <w:rFonts w:ascii="Times New Roman"/>
                <w:sz w:val="21"/>
                <w:szCs w:val="21"/>
              </w:rPr>
              <w:t xml:space="preserve">652</w:t>
            </w:r>
          </w:p>
        </w:tc>
        <w:tc>
          <w:tcPr>
            <w:shd w:fill="FFFFFF" w:val="clear"/>
            <w:tcMar>
              <w:top w:type="dxa" w:w="80"/>
              <w:left w:type="dxa" w:w="150"/>
              <w:bottom w:type="dxa" w:w="80"/>
              <w:right w:type="dxa" w:w="150"/>
            </w:tcMar>
          </w:tcPr>
          <w:p>
            <w:pPr>
              <w:spacing w:line="312"/>
            </w:pPr>
            <w:r>
              <w:rPr>
                <w:rFonts w:ascii="Times New Roman"/>
                <w:sz w:val="21"/>
                <w:szCs w:val="21"/>
              </w:rPr>
              <w:t xml:space="preserve">20.0%</w:t>
            </w:r>
          </w:p>
        </w:tc>
      </w:tr>
    </w:tbl>
    <w:p>
      <w:pPr>
        <w:pStyle w:val="Heading1"/>
        <w:spacing w:after="120" w:before="240" w:line="312"/>
      </w:pPr>
      <w:r>
        <w:rPr>
          <w:rFonts w:ascii="Arial"/>
          <w:b/>
          <w:bCs/>
          <w:color w:val="7B3B00"/>
          <w:sz w:val="30"/>
          <w:szCs w:val="30"/>
        </w:rPr>
        <w:t xml:space="preserve">Next-Step Plan</w:t>
      </w:r>
    </w:p>
    <w:p>
      <w:pPr>
        <w:spacing w:line="312"/>
        <w:jc w:val="both"/>
      </w:pPr>
      <w:r>
        <w:rPr>
          <w:rFonts w:ascii="Times New Roman"/>
          <w:color w:val="333333"/>
          <w:sz w:val="24"/>
          <w:szCs w:val="24"/>
        </w:rPr>
        <w:t xml:space="preserve">The business delivered steady growth this quarter, with core KPIs on target. Cost pressure and regional competition remain the principal risks to monitor. Cross-team efficiency rose and delivery lead times shortened versus last quarter.</w:t>
      </w:r>
    </w:p>
    <w:p>
      <w:pPr>
        <w:pStyle w:val="Heading1"/>
        <w:spacing w:after="120" w:before="240" w:line="312"/>
      </w:pPr>
      <w:r>
        <w:rPr>
          <w:rFonts w:ascii="Arial"/>
          <w:b/>
          <w:bCs/>
          <w:color w:val="7B3B00"/>
          <w:sz w:val="30"/>
          <w:szCs w:val="30"/>
        </w:rPr>
        <w:t xml:space="preserve">Executive Overview</w:t>
      </w:r>
    </w:p>
    <w:p>
      <w:pPr>
        <w:spacing w:line="312"/>
        <w:jc w:val="both"/>
      </w:pPr>
      <w:r>
        <w:rPr>
          <w:rFonts w:ascii="Times New Roman"/>
          <w:color w:val="333333"/>
          <w:sz w:val="24"/>
          <w:szCs w:val="24"/>
        </w:rPr>
        <w:t xml:space="preserve">The business delivered steady growth this quarter, with core KPIs on target. Revenue concentration in the main product line increased and retention improved. We recommend expanding channel investment and rebalancing resourcing to sustain growth.</w:t>
      </w:r>
    </w:p>
    <w:sectPr>
      <w:pgSz w:w="11906" w:h="16838"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2026-10-08T13:32:50.128Z</dcterms:created>
  <dcterms:modified xsi:type="dcterms:W3CDTF">2026-10-08T13:32:50.129Z</dcterms:modified>
</cp:coreProperties>
</file>

<file path=docProps/custom.xml><?xml version="1.0" encoding="utf-8"?>
<Properties xmlns="http://schemas.openxmlformats.org/officeDocument/2006/custom-properties" xmlns:vt="http://schemas.openxmlformats.org/officeDocument/2006/docPropsVTypes"/>
</file>