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pStyle w:val="Heading2"/>
        <w:spacing w:line="312" w:lineRule="auto"/>
      </w:pPr>
      <w:r>
        <w:rPr>
          <w:b/>
        </w:rPr>
        <w:t>Data Analysis</w:t>
      </w:r>
    </w:p>
    <w:p>
      <w:pPr>
        <w:spacing w:line="312" w:lineRule="auto"/>
      </w:pPr>
      <w:r>
        <w:t>We recommend expanding channel investment and rebalancing resourcing to sustain growth. Revenue concentration in the main product line increased and retention improved. The business delivered steady growth this quarter, with core KPIs on target.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