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rPr>
          <w:b/>
        </w:rPr>
        <w:t>Department Quarterly Summary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k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b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q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,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K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.</w:t>
      </w:r>
    </w:p>
    <w:p>
      <w:pPr>
        <w:pStyle w:val="Heading2"/>
        <w:spacing w:line="312" w:lineRule="auto"/>
      </w:pPr>
      <w:r>
        <w:rPr>
          <w:b/>
        </w:rPr>
        <w:t>Data Analysis</w:t>
      </w:r>
    </w:p>
    <w:p>
      <w:pPr>
        <w:spacing w:line="312" w:lineRule="auto"/>
      </w:pPr>
      <w:r>
        <w:t>The business delivered steady growth this quarter, with core KPIs on target. We recommend expanding channel investment and rebalancing resourcing to sustain growth. Cross-team efficiency rose and delivery lead times shortened versus last quarter.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