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5B2C6F"/>
          <w:sz w:val="30"/>
          <w:szCs w:val="30"/>
        </w:rPr>
        <w:t xml:space="preserve">Executive Overview</w:t>
      </w:r>
    </w:p>
    <w:p>
      <w:pPr>
        <w:spacing w:line="312"/>
        <w:jc w:val="both"/>
      </w:pPr>
      <w:r>
        <w:rPr>
          <w:rFonts w:ascii="Times New Roman"/>
          <w:color w:val="333333"/>
          <w:sz w:val="24"/>
          <w:szCs w:val="24"/>
        </w:rPr>
        <w:t xml:space="preserve">The business delivered steady growth this quarter, with core KPIs on target. We recommend expanding channel investment and rebalancing resourcing to sustain growth. Cross-team efficiency rose and delivery lead times shortened versus last quarter.</w:t>
      </w:r>
    </w:p>
    <w:p>
      <w:pPr>
        <w:pStyle w:val="Heading1"/>
        <w:spacing w:after="120" w:before="240" w:line="312"/>
      </w:pPr>
      <w:r>
        <w:rPr>
          <w:rFonts w:ascii="Arial"/>
          <w:b/>
          <w:bCs/>
          <w:color w:val="5B2C6F"/>
          <w:sz w:val="30"/>
          <w:szCs w:val="30"/>
        </w:rPr>
        <w:t xml:space="preserve">Risks and Challenges</w:t>
      </w:r>
    </w:p>
    <w:p>
      <w:pPr>
        <w:spacing w:line="312"/>
        <w:jc w:val="both"/>
      </w:pPr>
      <w:r>
        <w:rPr>
          <w:rFonts w:ascii="Times New Roman"/>
          <w:color w:val="333333"/>
          <w:sz w:val="24"/>
          <w:szCs w:val="24"/>
        </w:rPr>
        <w:t xml:space="preserve">Cost pressure and regional competition remain the principal risks to monitor. Cross-team efficiency rose and delivery lead times shortened versus last quarter. The business delivered steady growth this quarter, with core KPIs on target.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5B2C6F"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892</w:t>
            </w:r>
          </w:p>
        </w:tc>
        <w:tc>
          <w:tcPr>
            <w:shd w:fill="FFFFFF" w:val="clear"/>
            <w:tcMar>
              <w:top w:type="dxa" w:w="80"/>
              <w:left w:type="dxa" w:w="150"/>
              <w:bottom w:type="dxa" w:w="80"/>
              <w:right w:type="dxa" w:w="150"/>
            </w:tcMar>
          </w:tcPr>
          <w:p>
            <w:pPr>
              <w:spacing w:line="312"/>
            </w:pPr>
            <w:r>
              <w:rPr>
                <w:rFonts w:ascii="Times New Roman"/>
                <w:sz w:val="21"/>
                <w:szCs w:val="21"/>
              </w:rPr>
              <w:t xml:space="preserve">32.5%</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EADDF3" w:val="clear"/>
            <w:tcMar>
              <w:top w:type="dxa" w:w="80"/>
              <w:left w:type="dxa" w:w="150"/>
              <w:bottom w:type="dxa" w:w="80"/>
              <w:right w:type="dxa" w:w="150"/>
            </w:tcMar>
          </w:tcPr>
          <w:p>
            <w:pPr>
              <w:spacing w:line="312"/>
            </w:pPr>
            <w:r>
              <w:rPr>
                <w:rFonts w:ascii="Times New Roman"/>
                <w:sz w:val="21"/>
                <w:szCs w:val="21"/>
              </w:rPr>
              <w:t xml:space="preserve">340</w:t>
            </w:r>
          </w:p>
        </w:tc>
        <w:tc>
          <w:tcPr>
            <w:shd w:fill="EADDF3" w:val="clear"/>
            <w:tcMar>
              <w:top w:type="dxa" w:w="80"/>
              <w:left w:type="dxa" w:w="150"/>
              <w:bottom w:type="dxa" w:w="80"/>
              <w:right w:type="dxa" w:w="150"/>
            </w:tcMar>
          </w:tcPr>
          <w:p>
            <w:pPr>
              <w:spacing w:line="312"/>
            </w:pPr>
            <w:r>
              <w:rPr>
                <w:rFonts w:ascii="Times New Roman"/>
                <w:sz w:val="21"/>
                <w:szCs w:val="21"/>
              </w:rPr>
              <w:t xml:space="preserve">14.6%</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630</w:t>
            </w:r>
          </w:p>
        </w:tc>
        <w:tc>
          <w:tcPr>
            <w:shd w:fill="FFFFFF" w:val="clear"/>
            <w:tcMar>
              <w:top w:type="dxa" w:w="80"/>
              <w:left w:type="dxa" w:w="150"/>
              <w:bottom w:type="dxa" w:w="80"/>
              <w:right w:type="dxa" w:w="150"/>
            </w:tcMar>
          </w:tcPr>
          <w:p>
            <w:pPr>
              <w:spacing w:line="312"/>
            </w:pPr>
            <w:r>
              <w:rPr>
                <w:rFonts w:ascii="Times New Roman"/>
                <w:sz w:val="21"/>
                <w:szCs w:val="21"/>
              </w:rPr>
              <w:t xml:space="preserve">32.0%</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Operations</w:t>
            </w:r>
          </w:p>
        </w:tc>
        <w:tc>
          <w:tcPr>
            <w:shd w:fill="EADDF3" w:val="clear"/>
            <w:tcMar>
              <w:top w:type="dxa" w:w="80"/>
              <w:left w:type="dxa" w:w="150"/>
              <w:bottom w:type="dxa" w:w="80"/>
              <w:right w:type="dxa" w:w="150"/>
            </w:tcMar>
          </w:tcPr>
          <w:p>
            <w:pPr>
              <w:spacing w:line="312"/>
            </w:pPr>
            <w:r>
              <w:rPr>
                <w:rFonts w:ascii="Times New Roman"/>
                <w:sz w:val="21"/>
                <w:szCs w:val="21"/>
              </w:rPr>
              <w:t xml:space="preserve">425</w:t>
            </w:r>
          </w:p>
        </w:tc>
        <w:tc>
          <w:tcPr>
            <w:shd w:fill="EADDF3" w:val="clear"/>
            <w:tcMar>
              <w:top w:type="dxa" w:w="80"/>
              <w:left w:type="dxa" w:w="150"/>
              <w:bottom w:type="dxa" w:w="80"/>
              <w:right w:type="dxa" w:w="150"/>
            </w:tcMar>
          </w:tcPr>
          <w:p>
            <w:pPr>
              <w:spacing w:line="312"/>
            </w:pPr>
            <w:r>
              <w:rPr>
                <w:rFonts w:ascii="Times New Roman"/>
                <w:sz w:val="21"/>
                <w:szCs w:val="21"/>
              </w:rPr>
              <w:t xml:space="preserve">41.1%</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287</w:t>
            </w:r>
          </w:p>
        </w:tc>
        <w:tc>
          <w:tcPr>
            <w:shd w:fill="FFFFFF" w:val="clear"/>
            <w:tcMar>
              <w:top w:type="dxa" w:w="80"/>
              <w:left w:type="dxa" w:w="150"/>
              <w:bottom w:type="dxa" w:w="80"/>
              <w:right w:type="dxa" w:w="150"/>
            </w:tcMar>
          </w:tcPr>
          <w:p>
            <w:pPr>
              <w:spacing w:line="312"/>
            </w:pPr>
            <w:r>
              <w:rPr>
                <w:rFonts w:ascii="Times New Roman"/>
                <w:sz w:val="21"/>
                <w:szCs w:val="21"/>
              </w:rPr>
              <w:t xml:space="preserve">12.6%</w:t>
            </w:r>
          </w:p>
        </w:tc>
      </w:tr>
    </w:tbl>
    <w:p>
      <w:pPr>
        <w:pStyle w:val="Heading1"/>
        <w:spacing w:after="120" w:before="240" w:line="312"/>
      </w:pPr>
      <w:r>
        <w:rPr>
          <w:rFonts w:ascii="Arial"/>
          <w:b/>
          <w:bCs/>
          <w:color w:val="5B2C6F"/>
          <w:sz w:val="30"/>
          <w:szCs w:val="30"/>
        </w:rPr>
        <w:t xml:space="preserve">Summary and Recommendations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The business delivered steady growth this quarter, with core KPIs on target.</w:t>
      </w:r>
    </w:p>
    <w:p>
      <w:pPr>
        <w:pStyle w:val="Heading1"/>
        <w:spacing w:after="120" w:before="240" w:line="312"/>
      </w:pPr>
      <w:r>
        <w:rPr>
          <w:rFonts w:ascii="Arial"/>
          <w:b/>
          <w:bCs/>
          <w:color w:val="5B2C6F"/>
          <w:sz w:val="30"/>
          <w:szCs w:val="30"/>
        </w:rPr>
        <w:t xml:space="preserve">Performance Analysis</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2026-10-08T13:32:57.894Z</dcterms:created>
  <dcterms:modified xsi:type="dcterms:W3CDTF">2026-10-08T13:32:57.895Z</dcterms:modified>
</cp:coreProperties>
</file>

<file path=docProps/custom.xml><?xml version="1.0" encoding="utf-8"?>
<Properties xmlns="http://schemas.openxmlformats.org/officeDocument/2006/custom-properties" xmlns:vt="http://schemas.openxmlformats.org/officeDocument/2006/docPropsVTypes"/>
</file>